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 w:ascii="Arial" w:hAnsi="Arial" w:eastAsia="宋体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3GPP TSG RAN WG1 #11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4bis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 xml:space="preserve">                    R1-2309720</w:t>
      </w:r>
    </w:p>
    <w:p>
      <w:pPr>
        <w:tabs>
          <w:tab w:val="center" w:pos="4536"/>
          <w:tab w:val="right" w:pos="9072"/>
        </w:tabs>
        <w:spacing w:after="0"/>
        <w:rPr>
          <w:rFonts w:ascii="Arial" w:hAnsi="Arial" w:eastAsia="Batang" w:cs="Arial"/>
          <w:bCs/>
          <w:sz w:val="28"/>
          <w:szCs w:val="24"/>
          <w:lang w:val="en-GB" w:eastAsia="en-US"/>
        </w:rPr>
      </w:pPr>
      <w:bookmarkStart w:id="0" w:name="OLE_LINK4"/>
      <w:bookmarkStart w:id="1" w:name="OLE_LINK3"/>
      <w:r>
        <w:rPr>
          <w:rFonts w:ascii="Arial" w:hAnsi="Arial" w:eastAsia="MS Mincho" w:cs="Arial"/>
          <w:b/>
          <w:bCs/>
          <w:sz w:val="28"/>
          <w:lang w:eastAsia="ja-JP"/>
        </w:rPr>
        <w:t>Xiamen, China, October 9</w:t>
      </w:r>
      <w:r>
        <w:rPr>
          <w:rFonts w:hint="eastAsia" w:ascii="Arial" w:hAnsi="Arial" w:eastAsia="MS Mincho" w:cs="Arial"/>
          <w:b/>
          <w:bCs/>
          <w:sz w:val="28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</w:t>
      </w:r>
      <w:r>
        <w:rPr>
          <w:rFonts w:hint="eastAsia" w:ascii="Arial" w:hAnsi="Arial" w:eastAsia="MS Mincho" w:cs="Arial"/>
          <w:b/>
          <w:bCs/>
          <w:sz w:val="28"/>
          <w:lang w:eastAsia="ja-JP"/>
        </w:rPr>
        <w:t>October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13th, 2023</w:t>
      </w:r>
    </w:p>
    <w:p>
      <w:pPr>
        <w:pStyle w:val="23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Transsion Holdings</w:t>
      </w:r>
    </w:p>
    <w:p>
      <w:pPr>
        <w:pStyle w:val="23"/>
        <w:spacing w:after="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/>
          <w:sz w:val="24"/>
          <w:szCs w:val="24"/>
          <w:lang w:val="en-US" w:eastAsia="ja-JP"/>
        </w:rPr>
        <w:t>emaining issues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of NES techniques in spatial and power domains</w:t>
      </w:r>
    </w:p>
    <w:p>
      <w:pPr>
        <w:pStyle w:val="23"/>
        <w:spacing w:after="0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</w:p>
    <w:p>
      <w:pPr>
        <w:pStyle w:val="2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bookmarkStart w:id="4" w:name="_Toc120549591"/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Introduction</w:t>
      </w:r>
      <w:bookmarkEnd w:id="4"/>
    </w:p>
    <w:p>
      <w:pPr>
        <w:spacing w:before="0" w:after="0" w:afterLines="50" w:line="360" w:lineRule="auto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In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RAN1#114 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meeting, the following </w:t>
      </w:r>
      <w:r>
        <w:rPr>
          <w:rFonts w:hint="eastAsia" w:cs="Times New Roman"/>
          <w:bCs/>
          <w:sz w:val="20"/>
          <w:szCs w:val="20"/>
          <w:lang w:val="en-US" w:eastAsia="zh-CN"/>
        </w:rPr>
        <w:t>agreement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were </w:t>
      </w:r>
      <w:r>
        <w:rPr>
          <w:rFonts w:hint="eastAsia" w:cs="Times New Roman"/>
          <w:bCs/>
          <w:sz w:val="20"/>
          <w:szCs w:val="20"/>
          <w:lang w:val="en-US" w:eastAsia="zh-CN"/>
        </w:rPr>
        <w:t>reached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[1]：</w:t>
      </w:r>
    </w:p>
    <w:tbl>
      <w:tblPr>
        <w:tblStyle w:val="19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u w:val="single"/>
                <w:lang w:eastAsia="zh-CN"/>
              </w:rPr>
              <w:t>Conclusion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 xml:space="preserve">No further work on BM enhancements for R18 NES.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 xml:space="preserve">No further work on TCI configuration enhancement for R18 NES.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u w:val="single"/>
                <w:lang w:eastAsia="zh-CN"/>
              </w:rPr>
              <w:t>Conclusion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No further enhancements for PMI reduction in R18 NES.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No further enhancements for RI reduction in R18 NES.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No support of UE reporting PDSCH power reduction tolerance in R18 NES.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For SD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 and/or PD adaptation without UE complexity reduction, CPU counting of A/SP-CSI reporting is based on </w:t>
            </w:r>
            <m:oMath>
              <m:sSub>
                <m:sSubPr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  <m:t>O</m:t>
                  </m:r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  <m:t>CPU</m:t>
                  </m:r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m:rPr>
                  <m:sty m:val="p"/>
                </m:rPr>
                <w:rPr>
                  <w:rFonts w:hint="eastAsia" w:ascii="Cambria Math" w:hAnsi="Cambria Math"/>
                  <w:snapToGrid w:val="0"/>
                  <w:sz w:val="20"/>
                  <w:szCs w:val="20"/>
                  <w:lang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  <m:t>=1</m:t>
                  </m:r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  <m:t>N</m:t>
                  </m:r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sup>
                <m:e>
                  <m:sSubSup>
                    <m:sSubSupPr>
                      <m:ctrlPr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m:rPr/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  <m:t>K</m:t>
                      </m:r>
                      <m:ctrlPr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</m:ctrlPr>
                    </m:sub>
                    <m:sup>
                      <m:r>
                        <m:rPr/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  <m:t>i</m:t>
                      </m:r>
                      <m:ctrlPr>
                        <w:rPr>
                          <w:rFonts w:hint="eastAsia" w:ascii="Cambria Math" w:hAnsi="Cambria Math"/>
                          <w:snapToGrid w:val="0"/>
                          <w:sz w:val="20"/>
                          <w:szCs w:val="20"/>
                          <w:lang w:eastAsia="zh-CN"/>
                        </w:rPr>
                      </m:ctrlPr>
                    </m:sup>
                  </m:sSubSup>
                  <m:ctrlPr>
                    <w:rPr>
                      <w:rFonts w:hint="eastAsia" w:ascii="Cambria Math" w:hAnsi="Cambria Math"/>
                      <w:snapToGrid w:val="0"/>
                      <w:sz w:val="20"/>
                      <w:szCs w:val="20"/>
                      <w:lang w:eastAsia="zh-CN"/>
                    </w:rPr>
                  </m:ctrlPr>
                </m:e>
              </m:nary>
            </m:oMath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 for CSIs reporting corresponding to N indicated sub-configurations from L configured sub-configurations in a CSI report.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For sub-configuration triggering of A-CSI, an indication for N sub-configurations out of L sub-configurations for a triggering state is configured in </w:t>
            </w:r>
            <w:r>
              <w:rPr>
                <w:rFonts w:hint="eastAsia" w:ascii="Times New Roman" w:hAnsi="Times New Roman"/>
                <w:i/>
                <w:snapToGrid w:val="0"/>
                <w:sz w:val="20"/>
                <w:szCs w:val="20"/>
                <w:lang w:eastAsia="zh-CN"/>
              </w:rPr>
              <w:t>CSI-AssociatedReportConfigInfo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No change to current CSI request field in DCI.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0"/>
                <w:szCs w:val="20"/>
                <w:u w:val="single"/>
                <w:lang w:eastAsia="zh-CN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0"/>
                <w:szCs w:val="20"/>
                <w:lang w:eastAsia="zh-CN"/>
              </w:rPr>
              <w:t>There is no consensus to support the following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Option 1: support indication of spatial and/or transmission power adaptation in one of the following approaches (same approach for SD and PD adaptation) in addition to the agreed triggering/activation signalling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>Alt 1: MAC-CE/RRC for indication of corresponding subConfig ID that gNB has applied as adaptation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 xml:space="preserve">Note: need to take the RAN2 LS in </w:t>
            </w:r>
            <w:r>
              <w:rPr>
                <w:rFonts w:hint="eastAsia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/>
                <w:color w:val="auto"/>
                <w:sz w:val="20"/>
                <w:szCs w:val="20"/>
              </w:rPr>
              <w:instrText xml:space="preserve"> HYPERLINK "../Docs/R1-2306380.zip" </w:instrText>
            </w:r>
            <w:r>
              <w:rPr>
                <w:rFonts w:hint="eastAsia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22"/>
                <w:rFonts w:hint="eastAsia" w:ascii="Times New Roman" w:hAnsi="Times New Roman" w:eastAsia="宋体"/>
                <w:snapToGrid w:val="0"/>
                <w:color w:val="auto"/>
                <w:sz w:val="20"/>
                <w:szCs w:val="20"/>
                <w:u w:val="none"/>
                <w:lang w:eastAsia="zh-CN"/>
              </w:rPr>
              <w:t>R1-2306380</w:t>
            </w:r>
            <w:r>
              <w:rPr>
                <w:rStyle w:val="22"/>
                <w:rFonts w:hint="eastAsia" w:ascii="Times New Roman" w:hAnsi="Times New Roman" w:eastAsia="宋体"/>
                <w:snapToGrid w:val="0"/>
                <w:color w:val="auto"/>
                <w:sz w:val="20"/>
                <w:szCs w:val="20"/>
                <w:u w:val="none"/>
                <w:lang w:eastAsia="zh-CN"/>
              </w:rPr>
              <w:fldChar w:fldCharType="end"/>
            </w: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 xml:space="preserve"> into account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>Alt 2: UE specific DCI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>A new field in existing non-fallback UE specific DCI formats is introduced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napToGrid w:val="0"/>
                <w:sz w:val="20"/>
                <w:szCs w:val="20"/>
                <w:lang w:eastAsia="zh-CN"/>
              </w:rPr>
              <w:t>If agreed, the number of bits are to be discussed at CR stage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For each sub-configuration in a CSI reportConfig, for Type 1 SD adaptation only, and Type 2 SD adaptation only, support,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{codebookConfig (for Type 2 SD only) is common for all sub-configurations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{reportQuantity, reportFreqConfiguration} is not configured in any sub-configuration and the legacy/original parameters are used for all sub-configurations.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cqi-Table is common for all sub-configurations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for indicating # of ports in a port subset = 2, legacy IE twoTX-CodebookSubsetRestriction can be used</w:t>
            </w: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1080" w:right="0" w:firstLine="200" w:firstLineChars="10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for this subConfig in Type 1 SD.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For power domain adaptation</w:t>
            </w:r>
            <w:r>
              <w:rPr>
                <w:rFonts w:hint="eastAsia" w:ascii="Times New Roman" w:hAnsi="Times New Roman" w:eastAsia="等线"/>
                <w:snapToGrid w:val="0"/>
                <w:color w:val="auto"/>
                <w:sz w:val="20"/>
                <w:szCs w:val="20"/>
                <w:lang w:eastAsia="zh-CN"/>
              </w:rPr>
              <w:t xml:space="preserve"> only, </w:t>
            </w: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all 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CSI-RS resource(s) (which can be one or more) in the CSI-RS resource set for channel measurement are associated with each sub-configuration provided in a CSI report configuration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Each sub-configuration contains an offset value (e.g. X) that is commonly applied to all the resources within the resource set. For a CSI-RS resource</w:t>
            </w: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 in CSI resource configuration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, the </w:t>
            </w:r>
            <w:r>
              <w:rPr>
                <w:rFonts w:hint="eastAsia" w:ascii="Times New Roman" w:hAnsi="Times New Roman"/>
                <w:i/>
                <w:iCs/>
                <w:snapToGrid w:val="0"/>
                <w:sz w:val="20"/>
                <w:szCs w:val="20"/>
                <w:lang w:eastAsia="zh-CN"/>
              </w:rPr>
              <w:t>PDSCH to CSI-RS EPRE offset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(e.g. Y) for CSI calculation is determined based on </w:t>
            </w:r>
            <w:r>
              <w:rPr>
                <w:rFonts w:hint="eastAsia" w:ascii="Times New Roman" w:hAnsi="Times New Roman" w:eastAsia="等线"/>
                <w:i/>
                <w:iCs/>
                <w:snapToGrid w:val="0"/>
                <w:sz w:val="20"/>
                <w:szCs w:val="20"/>
                <w:lang w:eastAsia="zh-CN"/>
              </w:rPr>
              <w:t>powerControlOffset</w:t>
            </w: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 xml:space="preserve"> (e.g. Z) value in CSI resource configuration and the offset value configured in CSI sub-configuration in the report configuration.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Only legacy values are applicable for the resulted power control offset values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等线"/>
                <w:snapToGrid w:val="0"/>
                <w:sz w:val="20"/>
                <w:szCs w:val="20"/>
                <w:lang w:eastAsia="zh-CN"/>
              </w:rPr>
              <w:t>It is expected that the sub-configuration leads to a value no larger than power control offset value provided in CSI resource configuration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For joint operation of SD and PD, each subConfig contains corresponding parameters for an SD adaptation and/or parameters for a PD adaptation.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For sub-configuration triggering of SP-CSI on PUSCH report, an indication for N sub-configurations out of L sub-configurations for a triggering state is configured in </w:t>
            </w:r>
            <w:r>
              <w:rPr>
                <w:rFonts w:hint="eastAsia" w:ascii="Times New Roman" w:hAnsi="Times New Roman"/>
                <w:i/>
                <w:snapToGrid w:val="0"/>
                <w:sz w:val="20"/>
                <w:szCs w:val="20"/>
                <w:lang w:eastAsia="zh-CN"/>
              </w:rPr>
              <w:t>CSI-SemiPersistentOnPUSCH-TriggerState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.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napToGrid w:val="0"/>
                <w:sz w:val="20"/>
                <w:lang w:eastAsia="zh-CN"/>
              </w:rPr>
            </w:pPr>
            <w:r>
              <w:rPr>
                <w:rFonts w:hint="eastAsia"/>
                <w:snapToGrid w:val="0"/>
                <w:sz w:val="20"/>
                <w:lang w:eastAsia="zh-CN"/>
              </w:rPr>
              <w:t>No change to current CSI request field in DCI.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Down-select from the below for priority rule determination for CSI reporting of multiple sub-configurations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Option 1: The priority of the CSI report containing CSIs for multiple sub-configurations, is determined according to the clause 5.2.5 of TS 38.214.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1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1-b) A sub-configuration level priority is determined by the ord</w:t>
            </w:r>
            <w:r>
              <w:rPr>
                <w:rFonts w:hint="eastAsia" w:ascii="Times New Roman" w:hAnsi="Times New Roman"/>
                <w:snapToGrid w:val="0"/>
                <w:color w:val="auto"/>
                <w:sz w:val="20"/>
                <w:szCs w:val="20"/>
                <w:lang w:eastAsia="zh-CN"/>
              </w:rPr>
              <w:t xml:space="preserve">er of sub-configuration index. 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For Part 2 CSI corresponding to each sub-configuration, omission is at subConfig level. Follow legacy dropping rules for a CSI report containing multiple CSIs.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11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CSI mapping rule across sub-configurations follow legacy specification principle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11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Sub-configuration index with lower value has higher priority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11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Sub-configuration index is configured in CSI report config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both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>For CSIs across multiple sub-configurations in one CSI reportConfig map different sub-configurations based on RAN1#114 agreement in 9.7.1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napToGrid w:val="0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ko-KR"/>
              </w:rPr>
              <w:t>For Part 2 priority reporting level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1"/>
                <w:numId w:val="1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Option 1: for a given band type from {wideband, even subband, odd subband}, the omission order follows the priority order determined by sub-configuration index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Times New Roman" w:hAnsi="Times New Roman"/>
                <w:i/>
                <w:iCs/>
                <w:snapToGrid w:val="0"/>
                <w:sz w:val="20"/>
                <w:szCs w:val="20"/>
                <w:lang w:eastAsia="zh-CN"/>
              </w:rPr>
              <w:t xml:space="preserve">(modified as shown in </w:t>
            </w:r>
            <w:r>
              <w:rPr>
                <w:rFonts w:hint="eastAsia" w:ascii="Times New Roman" w:hAnsi="Times New Roman"/>
                <w:i/>
                <w:iCs/>
                <w:snapToGrid w:val="0"/>
                <w:color w:val="FF0000"/>
                <w:sz w:val="20"/>
                <w:szCs w:val="20"/>
                <w:lang w:eastAsia="zh-CN"/>
              </w:rPr>
              <w:t>red</w:t>
            </w:r>
            <w:r>
              <w:rPr>
                <w:rFonts w:hint="eastAsia" w:ascii="Times New Roman" w:hAnsi="Times New Roman"/>
                <w:i/>
                <w:iCs/>
                <w:snapToGrid w:val="0"/>
                <w:sz w:val="20"/>
                <w:szCs w:val="20"/>
                <w:lang w:eastAsia="zh-CN"/>
              </w:rPr>
              <w:t xml:space="preserve"> in Friday session)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iCs/>
                <w:sz w:val="20"/>
                <w:szCs w:val="20"/>
              </w:rPr>
              <w:t>F</w:t>
            </w:r>
            <w:r>
              <w:rPr>
                <w:rFonts w:hint="eastAsia" w:ascii="Times New Roman" w:hAnsi="Times New Roman" w:eastAsia="宋体"/>
                <w:iCs/>
                <w:sz w:val="20"/>
                <w:szCs w:val="20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>CSI-RS ports within the CSI-RS resource are counted by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 w:firstLine="400"/>
              <w:jc w:val="both"/>
              <w:textAlignment w:val="baseline"/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  <w:t xml:space="preserve">Option 2A: </w:t>
            </w:r>
            <m:oMath>
              <m:func>
                <m:funcPr>
                  <m:ctrlPr>
                    <w:rPr>
                      <w:rFonts w:hint="eastAsia" w:ascii="Cambria Math" w:hAnsi="Cambria Math"/>
                      <w:iCs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0"/>
                      <w:szCs w:val="20"/>
                    </w:rPr>
                    <m:t>max</m:t>
                  </m:r>
                  <m:ctrlPr>
                    <w:rPr>
                      <w:rFonts w:hint="eastAsia" w:ascii="Cambria Math" w:hAnsi="Cambria Math"/>
                      <w:iCs/>
                      <w:sz w:val="20"/>
                      <w:szCs w:val="20"/>
                    </w:rPr>
                  </m:ctrlPr>
                </m:fName>
                <m:e>
                  <m:d>
                    <m:dPr>
                      <m:ctrlPr>
                        <w:rPr>
                          <w:rFonts w:hint="eastAsia" w:ascii="Cambria Math" w:hAnsi="Cambria Math"/>
                          <w:iCs/>
                          <w:sz w:val="20"/>
                          <w:szCs w:val="20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hint="eastAsia" w:ascii="Cambria Math" w:hAnsi="Cambria Math" w:eastAsia="Malgun Gothic"/>
                              <w:iCs/>
                              <w:sz w:val="20"/>
                              <w:szCs w:val="20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Malgun Gothic"/>
                              <w:sz w:val="20"/>
                              <w:szCs w:val="20"/>
                              <w:lang w:eastAsia="ko-KR"/>
                            </w:rPr>
                            <m:t>s=1</m:t>
                          </m:r>
                          <m:ctrlPr>
                            <w:rPr>
                              <w:rFonts w:hint="eastAsia" w:ascii="Cambria Math" w:hAnsi="Cambria Math" w:eastAsia="Malgun Gothic"/>
                              <w:iCs/>
                              <w:sz w:val="20"/>
                              <w:szCs w:val="20"/>
                              <w:lang w:eastAsia="ko-KR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Malgun Gothic"/>
                              <w:sz w:val="20"/>
                              <w:szCs w:val="20"/>
                              <w:lang w:eastAsia="ko-KR"/>
                            </w:rPr>
                            <m:t>M</m:t>
                          </m:r>
                          <m:ctrlPr>
                            <w:rPr>
                              <w:rFonts w:hint="eastAsia" w:ascii="Cambria Math" w:hAnsi="Cambria Math" w:eastAsia="Malgun Gothic"/>
                              <w:iCs/>
                              <w:sz w:val="20"/>
                              <w:szCs w:val="20"/>
                              <w:lang w:eastAsia="ko-KR"/>
                            </w:rPr>
                          </m:ctrlPr>
                        </m:sup>
                        <m:e>
                          <m:sSub>
                            <m:sSubPr>
                              <m:ctrlPr>
                                <w:rPr>
                                  <w:rFonts w:hint="eastAsia" w:ascii="Cambria Math" w:hAnsi="Cambria Math" w:eastAsia="Malgun Gothic"/>
                                  <w:iCs/>
                                  <w:sz w:val="20"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 w:eastAsia="Malgun Gothic"/>
                                  <w:sz w:val="20"/>
                                  <w:szCs w:val="20"/>
                                  <w:lang w:eastAsia="ko-KR"/>
                                </w:rPr>
                                <m:t>P</m:t>
                              </m:r>
                              <m:ctrlPr>
                                <w:rPr>
                                  <w:rFonts w:hint="eastAsia" w:ascii="Cambria Math" w:hAnsi="Cambria Math" w:eastAsia="Malgun Gothic"/>
                                  <w:iCs/>
                                  <w:sz w:val="20"/>
                                  <w:szCs w:val="20"/>
                                  <w:lang w:eastAsia="ko-KR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 w:eastAsia="Malgun Gothic"/>
                                  <w:sz w:val="20"/>
                                  <w:szCs w:val="20"/>
                                  <w:lang w:eastAsia="ko-KR"/>
                                </w:rPr>
                                <m:t>s</m:t>
                              </m:r>
                              <m:ctrlPr>
                                <w:rPr>
                                  <w:rFonts w:hint="eastAsia" w:ascii="Cambria Math" w:hAnsi="Cambria Math" w:eastAsia="Malgun Gothic"/>
                                  <w:iCs/>
                                  <w:sz w:val="20"/>
                                  <w:szCs w:val="20"/>
                                  <w:lang w:eastAsia="ko-KR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eastAsia" w:ascii="Cambria Math" w:hAnsi="Cambria Math" w:eastAsia="Malgun Gothic"/>
                              <w:iCs/>
                              <w:sz w:val="20"/>
                              <w:szCs w:val="20"/>
                              <w:lang w:eastAsia="ko-KR"/>
                            </w:rPr>
                          </m:ctrlPr>
                        </m:e>
                      </m:nary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Malgun Gothic"/>
                          <w:sz w:val="20"/>
                          <w:szCs w:val="20"/>
                          <w:lang w:eastAsia="ko-KR"/>
                        </w:rPr>
                        <m:t>, P</m:t>
                      </m:r>
                      <m:ctrlPr>
                        <w:rPr>
                          <w:rFonts w:hint="eastAsia"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eastAsia" w:ascii="Cambria Math" w:hAnsi="Cambria Math"/>
                      <w:iCs/>
                      <w:sz w:val="20"/>
                      <w:szCs w:val="20"/>
                    </w:rPr>
                  </m:ctrlPr>
                </m:e>
              </m:func>
            </m:oMath>
            <w:r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  <w:t xml:space="preserve"> for Type 1 SD adaptation,</w:t>
            </w:r>
            <w:r>
              <w:rPr>
                <w:rFonts w:hint="eastAsia" w:ascii="Times New Roman" w:hAnsi="Times New Roman" w:eastAsia="PMingLiU"/>
                <w:iCs/>
                <w:sz w:val="20"/>
                <w:szCs w:val="20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hint="eastAsia" w:ascii="Cambria Math" w:hAnsi="Cambria Math"/>
                  <w:sz w:val="20"/>
                  <w:szCs w:val="20"/>
                </w:rPr>
                <m:t>M×</m:t>
              </m:r>
              <m:r>
                <m:rPr>
                  <m:sty m:val="p"/>
                </m:rPr>
                <w:rPr>
                  <w:rFonts w:hint="eastAsia" w:ascii="Cambria Math" w:hAnsi="Cambria Math" w:eastAsia="Malgun Gothic"/>
                  <w:sz w:val="20"/>
                  <w:szCs w:val="20"/>
                  <w:lang w:eastAsia="ko-KR"/>
                </w:rPr>
                <m:t>P</m:t>
              </m:r>
            </m:oMath>
            <w:r>
              <w:rPr>
                <w:rFonts w:hint="eastAsia" w:ascii="Times New Roman" w:hAnsi="Times New Roman" w:eastAsia="PMingLiU"/>
                <w:iCs/>
                <w:sz w:val="20"/>
                <w:szCs w:val="20"/>
                <w:lang w:eastAsia="ko-KR"/>
              </w:rPr>
              <w:t xml:space="preserve"> for Type 2 SD or PD adaptation.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 w:firstLine="400"/>
              <w:jc w:val="both"/>
              <w:textAlignment w:val="baseline"/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</w:pPr>
            <m:oMath>
              <m:r>
                <m:rPr>
                  <m:sty m:val="p"/>
                </m:rPr>
                <w:rPr>
                  <w:rFonts w:hint="eastAsia" w:ascii="Cambria Math" w:hAnsi="Cambria Math" w:eastAsia="Malgun Gothic"/>
                  <w:sz w:val="20"/>
                  <w:szCs w:val="20"/>
                  <w:lang w:eastAsia="ko-KR"/>
                </w:rPr>
                <m:t>P</m:t>
              </m:r>
            </m:oMath>
            <w:r>
              <w:rPr>
                <w:rFonts w:hint="eastAsia" w:ascii="Times New Roman" w:hAnsi="Times New Roman" w:eastAsia="Malgun Gothic"/>
                <w:iCs/>
                <w:sz w:val="20"/>
                <w:szCs w:val="20"/>
                <w:lang w:eastAsia="ko-KR"/>
              </w:rPr>
              <w:t xml:space="preserve"> is </w:t>
            </w:r>
            <w:r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  <w:t>nrofPorts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 xml:space="preserve"> configured in</w:t>
            </w:r>
            <w:r>
              <w:rPr>
                <w:rFonts w:hint="eastAsia" w:ascii="Times New Roman" w:hAnsi="Times New Roman" w:eastAsia="Malgun Gothic"/>
                <w:iCs/>
                <w:sz w:val="20"/>
                <w:szCs w:val="20"/>
                <w:lang w:eastAsia="ko-KR"/>
              </w:rPr>
              <w:t xml:space="preserve"> NZP-CSI-RS-Resource </w:t>
            </w:r>
            <w:r>
              <w:rPr>
                <w:rFonts w:hint="eastAsia" w:ascii="Times New Roman" w:hAnsi="Times New Roman"/>
                <w:iCs/>
                <w:sz w:val="20"/>
                <w:szCs w:val="2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hint="eastAsia" w:ascii="Cambria Math" w:hAnsi="Cambria Math" w:eastAsia="Malgun Gothic"/>
                      <w:iCs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Malgun Gothic"/>
                      <w:sz w:val="20"/>
                      <w:szCs w:val="20"/>
                      <w:lang w:eastAsia="ko-KR"/>
                    </w:rPr>
                    <m:t>P</m:t>
                  </m:r>
                  <m:ctrlPr>
                    <w:rPr>
                      <w:rFonts w:hint="eastAsia" w:ascii="Cambria Math" w:hAnsi="Cambria Math" w:eastAsia="Malgun Gothic"/>
                      <w:iCs/>
                      <w:sz w:val="20"/>
                      <w:szCs w:val="20"/>
                      <w:lang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Malgun Gothic"/>
                      <w:sz w:val="20"/>
                      <w:szCs w:val="20"/>
                      <w:lang w:eastAsia="ko-KR"/>
                    </w:rPr>
                    <m:t>s</m:t>
                  </m:r>
                  <m:ctrlPr>
                    <w:rPr>
                      <w:rFonts w:hint="eastAsia" w:ascii="Cambria Math" w:hAnsi="Cambria Math" w:eastAsia="Malgun Gothic"/>
                      <w:iCs/>
                      <w:sz w:val="20"/>
                      <w:szCs w:val="20"/>
                      <w:lang w:eastAsia="ko-KR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PMingLiU"/>
                <w:iCs/>
                <w:sz w:val="20"/>
                <w:szCs w:val="20"/>
                <w:lang w:eastAsia="ko-KR"/>
              </w:rPr>
              <w:t xml:space="preserve"> is the number of CSI-RS ports in sub-configuration s derived from port subset indication.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napToGrid w:val="0"/>
                <w:color w:val="FF0000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It is understood that further discussions are necessary.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napToGrid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eastAsia" w:ascii="Times New Roman" w:hAnsi="Times New Roman"/>
                <w:snapToGrid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 xml:space="preserve">For Type 1 SD for multi-panel case,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Introduce a new mixed codebook combination {Type 1 Single Panel, Type 1 Multi Panel, Null} in R18 for FG </w:t>
            </w:r>
            <w:r>
              <w:rPr>
                <w:rFonts w:hint="eastAsia"/>
                <w:i/>
                <w:iCs/>
                <w:sz w:val="20"/>
              </w:rPr>
              <w:t>codebookComboParameterAddition</w:t>
            </w:r>
            <w:r>
              <w:rPr>
                <w:rFonts w:hint="eastAsia"/>
                <w:sz w:val="20"/>
              </w:rPr>
              <w:t xml:space="preserve"> (indicating the UE supports the mixed codebook combinations in a slot)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Note: gNB can configure either Type 1 single panel codebook or Type 1 multi-panel codebook for a sub-configuration from one or multiple sub-configurations within one CSI report configuration if a UE reports support of multi-panel operation.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Lines="50" w:beforeAutospacing="0" w:after="0" w:afterLines="50" w:afterAutospacing="0"/>
              <w:ind w:left="0" w:right="0" w:firstLine="0"/>
              <w:jc w:val="both"/>
              <w:textAlignment w:val="baseline"/>
              <w:rPr>
                <w:rFonts w:hint="eastAsia" w:cs="Times New Roman"/>
                <w:sz w:val="21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spacing w:before="0" w:after="0" w:afterLines="50" w:line="360" w:lineRule="auto"/>
        <w:jc w:val="both"/>
        <w:rPr>
          <w:rFonts w:hint="eastAsia" w:ascii="Times New Roman" w:hAnsi="Times New Roman" w:cs="Times New Roman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Cs w:val="0"/>
          <w:sz w:val="20"/>
          <w:szCs w:val="20"/>
          <w:lang w:val="en-US" w:eastAsia="zh-CN"/>
        </w:rPr>
        <w:t>In this</w:t>
      </w:r>
      <w:r>
        <w:rPr>
          <w:rFonts w:hint="eastAsia" w:ascii="Times New Roman" w:hAnsi="Times New Roman" w:cs="Times New Roman"/>
          <w:bCs w:val="0"/>
          <w:sz w:val="20"/>
          <w:szCs w:val="20"/>
          <w:lang w:val="en-US" w:eastAsia="zh-CN"/>
        </w:rPr>
        <w:t xml:space="preserve"> contribution</w:t>
      </w:r>
      <w:r>
        <w:rPr>
          <w:rFonts w:hint="eastAsia" w:cs="Times New Roman"/>
          <w:bCs w:val="0"/>
          <w:sz w:val="20"/>
          <w:szCs w:val="20"/>
          <w:lang w:val="en-US" w:eastAsia="zh-CN"/>
        </w:rPr>
        <w:t xml:space="preserve">, the remaining NES </w:t>
      </w:r>
      <w:r>
        <w:rPr>
          <w:rFonts w:hint="eastAsia" w:eastAsia="宋体"/>
          <w:bCs w:val="0"/>
          <w:sz w:val="20"/>
          <w:szCs w:val="20"/>
          <w:lang w:val="en-US" w:eastAsia="zh-CN"/>
        </w:rPr>
        <w:t xml:space="preserve">techniques in </w:t>
      </w:r>
      <w:r>
        <w:rPr>
          <w:rFonts w:hint="eastAsia"/>
          <w:bCs w:val="0"/>
          <w:sz w:val="20"/>
          <w:szCs w:val="20"/>
          <w:lang w:val="en-US" w:eastAsia="zh-CN" w:bidi="ar"/>
        </w:rPr>
        <w:t>spatial and power domains will be further discussed</w:t>
      </w:r>
      <w:r>
        <w:rPr>
          <w:rFonts w:hint="eastAsia" w:ascii="Times New Roman" w:hAnsi="Times New Roman" w:cs="Times New Roman"/>
          <w:bCs w:val="0"/>
          <w:sz w:val="20"/>
          <w:szCs w:val="20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NES techniques in spatial and power domains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pacing w:before="240" w:beforeLines="-2147483648" w:beforeAutospacing="0" w:after="180" w:afterLines="-2147483648" w:afterAutospacing="0" w:line="240" w:lineRule="auto"/>
        <w:ind w:left="573" w:hanging="573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Network energy saving techniques in spatial domain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lang w:val="en-US" w:eastAsia="zh-CN"/>
        </w:rPr>
      </w:pPr>
      <w:r>
        <w:rPr>
          <w:rFonts w:hint="default"/>
          <w:b w:val="0"/>
          <w:bCs/>
          <w:lang w:val="en-US" w:eastAsia="zh-CN"/>
        </w:rPr>
        <w:t>CSI quantity and report payload</w:t>
      </w:r>
    </w:p>
    <w:p>
      <w:pPr>
        <w:spacing w:before="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The overhead of CSI payload was discussed in the last meeting, but there was no consensus on how to reduce CSI payload.</w:t>
      </w:r>
    </w:p>
    <w:p>
      <w:pPr>
        <w:spacing w:before="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According to my understanding, the overhead of CSI payload can be further reduced according to the characteristics of each SD adaptation.</w:t>
      </w:r>
    </w:p>
    <w:p>
      <w:pPr>
        <w:spacing w:before="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For Type 1 SD adaptation, since each CSI-RS resource is associated with all sub-configurations, all sub-configurations can share the same CRI (for example, the shared CRI can be the CRI of the sub-configuration with the maximum number of antenna ports ). </w:t>
      </w:r>
    </w:p>
    <w:p>
      <w:pPr>
        <w:spacing w:before="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Type 2 SD adaptation, since each sub-configuration has the same number of antenna ports, all sub-configurations can be assumed to have the same RI. in addition, for Type 2 SD adaptation, whether each sub-configuration can share the same CRI needs further studied.</w:t>
      </w:r>
    </w:p>
    <w:p>
      <w:pPr>
        <w:spacing w:before="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PD adaptation, since power changes will only cause power attenuation, the direction of the preferred CRI will not be changed if the power reduction value is within a certain range. Therefore, for PD adaptation, it can be assumed that each sub-configurations share the same CRI.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>For Type 1 SD adaptation and/or for PD adaptation, all sub-configurations can be assumed to share the same CRI</w:t>
      </w:r>
      <w:r>
        <w:rPr>
          <w:rFonts w:hint="default"/>
          <w:b/>
          <w:sz w:val="21"/>
          <w:szCs w:val="21"/>
          <w:lang w:val="en-US" w:eastAsia="zh-CN"/>
        </w:rPr>
        <w:t>.</w:t>
      </w:r>
    </w:p>
    <w:p>
      <w:pPr>
        <w:pStyle w:val="4"/>
        <w:bidi w:val="0"/>
        <w:rPr>
          <w:rFonts w:hint="default"/>
        </w:rPr>
      </w:pPr>
      <w:r>
        <w:rPr>
          <w:rFonts w:hint="default"/>
        </w:rPr>
        <w:t>Counting of active CSI-RS resource/antenna ports</w:t>
      </w:r>
    </w:p>
    <w:p>
      <w:pPr>
        <w:spacing w:before="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TS 38.214, if the number of CSI-RS resources is greater than 2, the number of CSI-RS ports included in each CSI-RS resource will be limited. The relationship between the number of CSI-RS resources and the number of CSI-RS ports in TS 38.214 is as follows: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bidi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" w:hAnsi="Times"/>
                <w:snapToGrid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" w:hAnsi="Times"/>
                <w:snapToGrid w:val="0"/>
                <w:sz w:val="21"/>
                <w:szCs w:val="24"/>
                <w:lang w:eastAsia="zh-CN"/>
              </w:rPr>
              <w:t>TS 38.214</w:t>
            </w:r>
            <w:r>
              <w:rPr>
                <w:rFonts w:hint="eastAsia" w:ascii="Times" w:hAnsi="Times"/>
                <w:snapToGrid w:val="0"/>
                <w:sz w:val="21"/>
                <w:szCs w:val="24"/>
                <w:lang w:val="en-US" w:eastAsia="zh-CN"/>
              </w:rPr>
              <w:t xml:space="preserve">  5.2.1.4.2</w:t>
            </w:r>
            <w:r>
              <w:rPr>
                <w:rFonts w:hint="eastAsia" w:ascii="Times" w:hAnsi="Times"/>
                <w:snapToGrid w:val="0"/>
                <w:sz w:val="21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bidi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" w:hAnsi="Times" w:eastAsiaTheme="minorEastAsia"/>
                <w:snapToGrid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sz w:val="20"/>
                <w:szCs w:val="20"/>
              </w:rPr>
              <w:t xml:space="preserve">if the UE is configured with a CSI-ReportConfig with the higher layer parameter reportQuantity set to 'cri-RSRP', 'cri-RI-PMI-CQI ', 'cri-RI-i1', 'cri-RI-i1-CQI', 'cri-RI-CQI', 'cri-RI-LI-PMI-CQI', 'cri-SINR', or 'cri-SINR- Index ', and </w:t>
            </w:r>
            <w:r>
              <w:rPr>
                <w:rFonts w:hint="eastAsia" w:ascii="Cambria Math" w:hAnsi="Cambria Math" w:cs="Cambria Math"/>
                <w:b/>
                <w:bCs/>
                <w:i/>
                <w:sz w:val="20"/>
                <w:szCs w:val="20"/>
              </w:rPr>
              <w:t>𝐾𝑠</w:t>
            </w:r>
            <w:r>
              <w:rPr>
                <w:rFonts w:hint="eastAsia"/>
                <w:b/>
                <w:bCs/>
                <w:i/>
                <w:sz w:val="20"/>
                <w:szCs w:val="20"/>
              </w:rPr>
              <w:t xml:space="preserve"> &gt; 1 resources</w:t>
            </w:r>
            <w:r>
              <w:rPr>
                <w:rFonts w:hint="eastAsia"/>
                <w:i/>
                <w:sz w:val="20"/>
                <w:szCs w:val="20"/>
              </w:rPr>
              <w:t xml:space="preserve"> are configured in the corresponding resource set for channel measurement, then the UE shall derive the CSI parameters other than CRI conditioned on the reported CRI, where CRI k (k ≥ 0) corresponds to the configured (k+1)-th entry of associated nzp-CSI-RS-Resources in the corresponding NZP-CSI-RS-ResourceSet for channel measurement, and (k+1)-th entry of associated csi-IM-Resource in the corresponding csi-IM-ResourceSet (if configured) or (k+1)-th entry of associated nzp-CSI-RS-Resources in the corresponding NZP-CSI-RS-ResourceSet (if configured for CSI-ReportConfig with reportQuantity set to 'cri-SINR' or 'cri-SINR- Index ') for interference measurement. If </w:t>
            </w:r>
            <w:r>
              <w:rPr>
                <w:rFonts w:hint="eastAsia" w:ascii="Cambria Math" w:hAnsi="Cambria Math" w:cs="Cambria Math"/>
                <w:b/>
                <w:bCs/>
                <w:i/>
                <w:sz w:val="20"/>
                <w:szCs w:val="20"/>
              </w:rPr>
              <w:t>𝐾𝑠</w:t>
            </w:r>
            <w:r>
              <w:rPr>
                <w:rFonts w:hint="eastAsia"/>
                <w:b/>
                <w:bCs/>
                <w:i/>
                <w:sz w:val="20"/>
                <w:szCs w:val="20"/>
              </w:rPr>
              <w:t xml:space="preserve"> = 2 CSI-RS resources</w:t>
            </w:r>
            <w:r>
              <w:rPr>
                <w:rFonts w:hint="eastAsia"/>
                <w:i/>
                <w:sz w:val="20"/>
                <w:szCs w:val="20"/>
              </w:rPr>
              <w:t xml:space="preserve"> are configured, each resource shall contain at most 16 CSI-RS ports. If </w:t>
            </w:r>
            <w:r>
              <w:rPr>
                <w:rFonts w:hint="eastAsia"/>
                <w:b/>
                <w:bCs/>
                <w:i/>
                <w:sz w:val="20"/>
                <w:szCs w:val="20"/>
              </w:rPr>
              <w:t xml:space="preserve">2 &lt; </w:t>
            </w:r>
            <w:r>
              <w:rPr>
                <w:rFonts w:hint="eastAsia" w:ascii="Cambria Math" w:hAnsi="Cambria Math" w:cs="Cambria Math"/>
                <w:b/>
                <w:bCs/>
                <w:i/>
                <w:sz w:val="20"/>
                <w:szCs w:val="20"/>
              </w:rPr>
              <w:t>𝐾𝑠</w:t>
            </w:r>
            <w:r>
              <w:rPr>
                <w:rFonts w:hint="eastAsia"/>
                <w:b/>
                <w:bCs/>
                <w:i/>
                <w:sz w:val="20"/>
                <w:szCs w:val="20"/>
              </w:rPr>
              <w:t xml:space="preserve"> ≤ 8 CSI-RS resources </w:t>
            </w:r>
            <w:r>
              <w:rPr>
                <w:rFonts w:hint="eastAsia"/>
                <w:i/>
                <w:sz w:val="20"/>
                <w:szCs w:val="20"/>
              </w:rPr>
              <w:t>are configured, each resource shall contain at most 8 CSI-RS ports</w:t>
            </w:r>
            <w:r>
              <w:rPr>
                <w:rFonts w:hint="eastAsia"/>
                <w:i/>
                <w:sz w:val="20"/>
                <w:szCs w:val="20"/>
                <w:lang w:eastAsia="zh-CN"/>
              </w:rPr>
              <w:t>。</w:t>
            </w:r>
          </w:p>
        </w:tc>
      </w:tr>
    </w:tbl>
    <w:p>
      <w:pPr>
        <w:spacing w:before="0" w:afterLines="50" w:line="360" w:lineRule="auto"/>
        <w:jc w:val="both"/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>From our point of view, for CSI-RS resources associated with sub-configurations, the above-mentioned CSI-RS port number limit should no longer apply. The specific reasons are analyzed as follows:</w:t>
      </w:r>
    </w:p>
    <w:p>
      <w:pPr>
        <w:spacing w:before="0" w:afterLines="50" w:line="360" w:lineRule="auto"/>
        <w:jc w:val="both"/>
        <w:rPr>
          <w:rFonts w:hint="default" w:ascii="Times New Roman" w:hAnsi="Times New Roman" w:cs="Times New Roman"/>
          <w:snapToGrid/>
          <w:sz w:val="20"/>
          <w:szCs w:val="20"/>
          <w:lang w:val="en-US" w:eastAsia="zh-CN"/>
        </w:rPr>
      </w:pPr>
      <w:r>
        <w:rPr>
          <w:rFonts w:hint="eastAsia" w:cs="Times New Roman"/>
          <w:snapToGrid/>
          <w:sz w:val="20"/>
          <w:szCs w:val="20"/>
          <w:lang w:val="en-US" w:eastAsia="zh-CN"/>
        </w:rPr>
        <w:t>Firstly, f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or Type 1 SD adaptation, each sub-configuration is mainly used to measure the channel quality of different antenna port numbers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so that the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>gNB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can quickly turn off the number of antenna ports used for PDSCH for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>NES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purposes. Furthermore, according to the conclusions of the previous meeting, for Type 1 SD adaptation, each CSI-RS resource can be associated with all sub-configurations, and each sub-configuration can be associated with one or more CSI-RS resources. Therefore, the number of CSI-RS ports contained in one or more CSI-RS resources associated with a sub-configuration shall not have the restrictions described in TS 38.214 above.</w:t>
      </w:r>
    </w:p>
    <w:p>
      <w:pPr>
        <w:spacing w:before="0" w:afterLines="50" w:line="360" w:lineRule="auto"/>
        <w:jc w:val="both"/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</w:pPr>
      <w:r>
        <w:rPr>
          <w:rFonts w:hint="eastAsia" w:cs="Times New Roman"/>
          <w:snapToGrid/>
          <w:sz w:val="20"/>
          <w:szCs w:val="20"/>
          <w:lang w:val="en-US" w:eastAsia="zh-CN"/>
        </w:rPr>
        <w:t>Secondly, f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or Type 2 SD adaptation, each sub-configuration is mainly used to measure the channel quality of different TXRU mappings, so that the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>gNB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can quickly adjust the mapping method of </w:t>
      </w:r>
      <w:r>
        <w:rPr>
          <w:rFonts w:hint="eastAsia"/>
          <w:lang w:val="en-US" w:eastAsia="zh-CN"/>
        </w:rPr>
        <w:t>logical antenna port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to TXRUs based on energy saving purposes. Furthermore, according to the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>agreements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of the previous meeting, for Type 2 SD adaptation, </w:t>
      </w:r>
      <w:r>
        <w:rPr>
          <w:rFonts w:hint="eastAsia" w:cs="Times New Roman"/>
          <w:snapToGrid/>
          <w:sz w:val="20"/>
          <w:szCs w:val="20"/>
          <w:lang w:val="en-US" w:eastAsia="zh-CN"/>
        </w:rPr>
        <w:t>different</w:t>
      </w: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 xml:space="preserve"> sub-configuration is associated with different CSI-RS resources, and each sub-configuration can be associated with one or more CSI-RS resources. Therefore, the number of CSI-RS ports contained in one or more CSI-RS resources associated with a sub-configuration shall not have the restrictions described in TS 38.214 above.</w:t>
      </w:r>
    </w:p>
    <w:p>
      <w:pPr>
        <w:spacing w:before="0" w:afterLines="50" w:line="360" w:lineRule="auto"/>
        <w:jc w:val="both"/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</w:pPr>
      <w:r>
        <w:rPr>
          <w:rFonts w:hint="eastAsia" w:cs="Times New Roman"/>
          <w:snapToGrid/>
          <w:sz w:val="20"/>
          <w:szCs w:val="20"/>
          <w:lang w:val="en-US" w:eastAsia="zh-CN"/>
        </w:rPr>
        <w:t>Thirdly, for similar reasons as above for spatial domain adaptation, for PD adaptation, the number of CSI-RS ports contained in one or more CSI-RS resources associated with a sub-configuration shall not have the restrictions described in TS 38.214 above.</w:t>
      </w:r>
    </w:p>
    <w:p>
      <w:pPr>
        <w:pStyle w:val="24"/>
        <w:numPr>
          <w:ilvl w:val="-1"/>
          <w:numId w:val="0"/>
        </w:numPr>
        <w:spacing w:after="0" w:line="240" w:lineRule="auto"/>
        <w:ind w:left="0" w:leftChars="0" w:firstLine="0"/>
        <w:jc w:val="left"/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napToGrid/>
          <w:sz w:val="20"/>
          <w:szCs w:val="20"/>
          <w:lang w:val="en-US" w:eastAsia="zh-CN"/>
        </w:rPr>
        <w:t>In short, for Type 1 SD adaptation, Type 2 SD adaptation and/or PD adaptation, the number of CSI-RS ports contained in one or more CSI-RS resources associated with a sub-configuration shall not have the restrictions described in TS 38.214 above.</w:t>
      </w:r>
    </w:p>
    <w:p>
      <w:pPr>
        <w:pStyle w:val="24"/>
        <w:numPr>
          <w:ilvl w:val="-1"/>
          <w:numId w:val="0"/>
        </w:numPr>
        <w:spacing w:after="0" w:line="240" w:lineRule="auto"/>
        <w:ind w:left="0" w:leftChars="0" w:firstLine="0"/>
        <w:jc w:val="left"/>
        <w:rPr>
          <w:rFonts w:hint="eastAsia" w:ascii="Times New Roman" w:hAnsi="Times New Roman" w:cs="Times New Roman"/>
          <w:snapToGrid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napToGrid w:val="0"/>
          <w:color w:val="auto"/>
          <w:sz w:val="21"/>
          <w:szCs w:val="21"/>
          <w:lang w:val="en-US" w:eastAsia="zh-CN"/>
        </w:rPr>
        <w:t xml:space="preserve">Therefore, the proposed text proposal is described as follows: </w:t>
      </w:r>
    </w:p>
    <w:p>
      <w:pPr>
        <w:pStyle w:val="24"/>
        <w:numPr>
          <w:ilvl w:val="-1"/>
          <w:numId w:val="0"/>
        </w:numPr>
        <w:spacing w:after="0" w:line="240" w:lineRule="auto"/>
        <w:ind w:left="0" w:leftChars="0" w:firstLine="0"/>
        <w:jc w:val="left"/>
        <w:rPr>
          <w:rFonts w:hint="eastAsia" w:ascii="Times New Roman" w:hAnsi="Times New Roman" w:cs="Times New Roman"/>
          <w:snapToGrid w:val="0"/>
          <w:color w:val="FF0000"/>
          <w:sz w:val="21"/>
          <w:szCs w:val="21"/>
          <w:lang w:val="en-US" w:eastAsia="zh-CN"/>
        </w:rPr>
      </w:pP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3"/>
              <w:widowControl/>
              <w:numPr>
                <w:ilvl w:val="0"/>
                <w:numId w:val="0"/>
              </w:numPr>
              <w:suppressLineNumbers w:val="0"/>
              <w:tabs>
                <w:tab w:val="left" w:pos="1701"/>
                <w:tab w:val="right" w:pos="9639"/>
              </w:tabs>
              <w:overflowPunct w:val="0"/>
              <w:autoSpaceDE w:val="0"/>
              <w:autoSpaceDN w:val="0"/>
              <w:adjustRightInd w:val="0"/>
              <w:ind w:left="576" w:right="0" w:hanging="576"/>
              <w:jc w:val="center"/>
              <w:textAlignment w:val="baseline"/>
              <w:outlineLvl w:val="1"/>
              <w:rPr>
                <w:rFonts w:hint="eastAsia"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i/>
                <w:sz w:val="24"/>
                <w:szCs w:val="24"/>
                <w:lang w:eastAsia="zh-CN"/>
              </w:rPr>
              <w:t xml:space="preserve">&lt;----------Text proposal </w:t>
            </w:r>
            <w:r>
              <w:rPr>
                <w:rFonts w:hint="eastAsia" w:ascii="Times New Roman" w:hAnsi="Times New Roman"/>
                <w:i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i/>
                <w:sz w:val="24"/>
                <w:szCs w:val="24"/>
                <w:lang w:eastAsia="zh-CN"/>
              </w:rPr>
              <w:t>-----------&gt;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240" w:lineRule="auto"/>
              <w:ind w:right="0"/>
              <w:textAlignment w:val="baseline"/>
              <w:rPr>
                <w:rFonts w:hint="eastAsia" w:eastAsia="微软雅黑"/>
                <w:sz w:val="20"/>
                <w:lang w:val="en-US" w:eastAsia="zh-CN"/>
              </w:rPr>
            </w:pPr>
            <w:r>
              <w:rPr>
                <w:rFonts w:hint="eastAsia" w:eastAsia="微软雅黑"/>
                <w:sz w:val="20"/>
                <w:lang w:val="en-US" w:eastAsia="zh-CN"/>
              </w:rPr>
              <w:t>38.214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color w:val="000000"/>
                <w:sz w:val="20"/>
                <w:szCs w:val="20"/>
                <w:lang w:eastAsia="zh-CN"/>
              </w:rPr>
            </w:pPr>
            <w:bookmarkStart w:id="5" w:name="_Toc20318004"/>
            <w:bookmarkStart w:id="6" w:name="_Toc29674303"/>
            <w:bookmarkStart w:id="7" w:name="_Toc45810578"/>
            <w:bookmarkStart w:id="8" w:name="_Toc29673310"/>
            <w:bookmarkStart w:id="9" w:name="_Toc27299902"/>
            <w:bookmarkStart w:id="10" w:name="_Toc29673169"/>
            <w:bookmarkStart w:id="11" w:name="_Toc130409778"/>
            <w:bookmarkStart w:id="12" w:name="_Toc11352114"/>
            <w:bookmarkStart w:id="13" w:name="_Toc36645533"/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5.2.1.4.2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Report Quantity Configurations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center"/>
              <w:textAlignment w:val="baseline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FF0000"/>
                <w:sz w:val="20"/>
                <w:szCs w:val="20"/>
                <w:lang w:eastAsia="zh-CN"/>
              </w:rPr>
              <w:t>*** Unchanged text is omitted ***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MS Mincho"/>
                <w:color w:val="000000"/>
                <w:sz w:val="20"/>
                <w:szCs w:val="20"/>
              </w:rPr>
            </w:pP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If the UE is configured with a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CSI-ReportConfig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with the higher layer parameter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reportQuantity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set to 'cri-RSRP', 'cri-RI-PMI-CQI ', '</w:t>
            </w:r>
            <w:r>
              <w:rPr>
                <w:rFonts w:hint="eastAsia"/>
                <w:sz w:val="20"/>
                <w:szCs w:val="20"/>
              </w:rPr>
              <w:t>cri-RI-i1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>', 'cri-RI-i1-CQI', 'cri-RI-CQI', '</w:t>
            </w:r>
            <w:r>
              <w:rPr>
                <w:rFonts w:hint="eastAsia"/>
                <w:sz w:val="20"/>
                <w:szCs w:val="20"/>
              </w:rPr>
              <w:t>cri-RI-LI-PMI-CQI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>', 'cri-SINR', or 'cri-SINR</w:t>
            </w:r>
            <w:r>
              <w:rPr>
                <w:rFonts w:hint="eastAsia"/>
                <w:iCs/>
                <w:sz w:val="20"/>
                <w:szCs w:val="20"/>
              </w:rPr>
              <w:t>- Index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', and </w:t>
            </w:r>
            <m:oMath>
              <m:sSub>
                <m:sSubP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K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s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hint="eastAsia" w:ascii="Cambria Math" w:hAnsi="Cambria Math" w:eastAsia="MS Mincho"/>
                  <w:color w:val="000000"/>
                  <w:sz w:val="20"/>
                  <w:szCs w:val="20"/>
                </w:rPr>
                <m:t xml:space="preserve">&gt;1 </m:t>
              </m:r>
            </m:oMath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resources are configured in the corresponding resource set for channel measurement, then the UE shall derive the CSI parameters other than CRI conditioned on the reported CRI, where CRI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k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(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k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≥ 0) corresponds to the configured (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k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+1)-th entry of associated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nzp-CSI-RS-Resources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in the corresponding </w:t>
            </w:r>
            <w:r>
              <w:rPr>
                <w:rFonts w:hint="eastAsia" w:eastAsia="MS Mincho"/>
                <w:i/>
                <w:sz w:val="20"/>
                <w:szCs w:val="20"/>
                <w:lang w:val="en-US" w:eastAsia="ja-JP"/>
              </w:rPr>
              <w:t>NZP-CSI-RS-ResourceSet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for channel measurement, and (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k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+1)-th entry of associated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csi-IM-Resource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in the corresponding </w:t>
            </w:r>
            <w:r>
              <w:rPr>
                <w:rFonts w:hint="eastAsia" w:eastAsia="MS Mincho"/>
                <w:i/>
                <w:color w:val="000000"/>
                <w:sz w:val="20"/>
                <w:szCs w:val="20"/>
              </w:rPr>
              <w:t>csi-IM-ResourceSet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(if configured)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or (</w:t>
            </w:r>
            <w:r>
              <w:rPr>
                <w:rFonts w:hint="eastAsia" w:eastAsia="MS Mincho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+1)-th entry of associated </w:t>
            </w:r>
            <w:r>
              <w:rPr>
                <w:rFonts w:hint="eastAsia" w:eastAsia="MS Mincho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nzp-CSI-RS-Resources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in the corresponding </w:t>
            </w:r>
            <w:r>
              <w:rPr>
                <w:rFonts w:hint="eastAsia" w:eastAsia="MS Mincho"/>
                <w:i/>
                <w:sz w:val="20"/>
                <w:szCs w:val="20"/>
                <w:lang w:val="en-US" w:eastAsia="ja-JP"/>
              </w:rPr>
              <w:t>NZP-CSI-RS-ResourceSet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(if configured for </w:t>
            </w:r>
            <w:r>
              <w:rPr>
                <w:rFonts w:hint="eastAsia" w:eastAsia="MS Mincho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CSI-ReportConfig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 with </w:t>
            </w:r>
            <w:r>
              <w:rPr>
                <w:rFonts w:hint="eastAsia" w:eastAsia="MS Mincho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reportQuantity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set to 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>'cri-SINR' or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'cri-SINR</w:t>
            </w:r>
            <w:r>
              <w:rPr>
                <w:rFonts w:hint="eastAsia"/>
                <w:iCs/>
                <w:sz w:val="20"/>
                <w:szCs w:val="20"/>
              </w:rPr>
              <w:t>- Index</w:t>
            </w:r>
            <w:r>
              <w:rPr>
                <w:rFonts w:hint="eastAsia" w:eastAsia="MS Minch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') for interference measurement.</w:t>
            </w:r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 If </w:t>
            </w:r>
            <m:oMath>
              <m:sSub>
                <m:sSubP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K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s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hint="eastAsia" w:ascii="Cambria Math" w:hAnsi="Cambria Math" w:eastAsia="MS Mincho"/>
                  <w:color w:val="000000"/>
                  <w:sz w:val="20"/>
                  <w:szCs w:val="20"/>
                </w:rPr>
                <m:t xml:space="preserve">=2 </m:t>
              </m:r>
            </m:oMath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CSI-RS resources are configured, each resource shall contain at most 16 CSI-RS ports. If </w:t>
            </w:r>
            <m:oMath>
              <m:r>
                <m:rPr/>
                <w:rPr>
                  <w:rFonts w:hint="eastAsia" w:ascii="Cambria Math" w:hAnsi="Cambria Math" w:eastAsia="MS Mincho"/>
                  <w:color w:val="000000"/>
                  <w:sz w:val="20"/>
                  <w:szCs w:val="20"/>
                </w:rPr>
                <m:t>2&lt;</m:t>
              </m:r>
              <m:sSub>
                <m:sSubP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K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MS Mincho"/>
                      <w:color w:val="000000"/>
                      <w:sz w:val="20"/>
                      <w:szCs w:val="20"/>
                    </w:rPr>
                    <m:t>s</m:t>
                  </m:r>
                  <m:ctrlPr>
                    <w:rPr>
                      <w:rFonts w:hint="eastAsia" w:ascii="Cambria Math" w:hAnsi="Cambria Math" w:eastAsia="MS Mincho"/>
                      <w:i/>
                      <w:color w:val="000000"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hint="eastAsia" w:ascii="Cambria Math" w:hAnsi="Cambria Math" w:eastAsia="MS Mincho"/>
                  <w:color w:val="000000"/>
                  <w:sz w:val="20"/>
                  <w:szCs w:val="20"/>
                </w:rPr>
                <m:t xml:space="preserve">≤8 </m:t>
              </m:r>
            </m:oMath>
            <w:r>
              <w:rPr>
                <w:rFonts w:hint="eastAsia" w:eastAsia="MS Mincho"/>
                <w:color w:val="000000"/>
                <w:sz w:val="20"/>
                <w:szCs w:val="20"/>
              </w:rPr>
              <w:t xml:space="preserve">CSI-RS resources are configured, each resource shall contain at most 8 CSI-RS ports.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240" w:lineRule="auto"/>
              <w:ind w:right="0"/>
              <w:textAlignment w:val="baseline"/>
              <w:rPr>
                <w:rFonts w:hint="default" w:eastAsia="微软雅黑"/>
                <w:color w:val="FF0000"/>
                <w:sz w:val="20"/>
                <w:lang w:val="en-US" w:eastAsia="zh-CN"/>
              </w:rPr>
            </w:pPr>
            <w:r>
              <w:rPr>
                <w:rFonts w:hint="eastAsia" w:eastAsia="微软雅黑"/>
                <w:color w:val="FF0000"/>
                <w:sz w:val="20"/>
                <w:lang w:val="en-US" w:eastAsia="zh-CN"/>
              </w:rPr>
              <w:t xml:space="preserve">For </w:t>
            </w:r>
            <w:r>
              <w:rPr>
                <w:rFonts w:hint="eastAsia" w:eastAsia="微软雅黑"/>
                <w:color w:val="FF0000"/>
                <w:sz w:val="20"/>
                <w:lang w:val="en-US"/>
              </w:rPr>
              <w:t>CSI-RS resources</w:t>
            </w:r>
            <w:r>
              <w:rPr>
                <w:rFonts w:hint="eastAsia" w:eastAsia="微软雅黑"/>
                <w:color w:val="FF0000"/>
                <w:sz w:val="20"/>
                <w:lang w:val="en-US" w:eastAsia="zh-CN"/>
              </w:rPr>
              <w:t xml:space="preserve"> associated with </w:t>
            </w:r>
            <w:r>
              <w:rPr>
                <w:rFonts w:hint="eastAsia" w:eastAsia="微软雅黑"/>
                <w:color w:val="FF0000"/>
                <w:sz w:val="20"/>
                <w:lang w:val="en-US"/>
              </w:rPr>
              <w:t>sub-configuration</w:t>
            </w:r>
            <w:r>
              <w:rPr>
                <w:rFonts w:hint="eastAsia" w:eastAsia="微软雅黑"/>
                <w:color w:val="FF0000"/>
                <w:sz w:val="20"/>
                <w:lang w:val="en-US" w:eastAsia="zh-CN"/>
              </w:rPr>
              <w:t xml:space="preserve">, </w:t>
            </w:r>
            <w:r>
              <w:rPr>
                <w:rFonts w:hint="eastAsia" w:eastAsia="微软雅黑"/>
                <w:color w:val="FF0000"/>
                <w:sz w:val="20"/>
                <w:lang w:val="en-US"/>
              </w:rPr>
              <w:t>where each sub-configuration is identified by [</w:t>
            </w:r>
            <w:r>
              <w:rPr>
                <w:rFonts w:hint="eastAsia" w:eastAsia="微软雅黑"/>
                <w:i/>
                <w:iCs/>
                <w:color w:val="FF0000"/>
                <w:sz w:val="20"/>
                <w:lang w:val="en-US"/>
              </w:rPr>
              <w:t>csi-ReportSubConfigID</w:t>
            </w:r>
            <w:r>
              <w:rPr>
                <w:rFonts w:hint="eastAsia" w:eastAsia="微软雅黑"/>
                <w:color w:val="FF0000"/>
                <w:sz w:val="20"/>
                <w:lang w:val="en-US"/>
              </w:rPr>
              <w:t>]</w:t>
            </w:r>
            <w:r>
              <w:rPr>
                <w:rFonts w:hint="eastAsia" w:eastAsia="微软雅黑"/>
                <w:color w:val="FF0000"/>
                <w:sz w:val="20"/>
                <w:lang w:val="en-US" w:eastAsia="zh-CN"/>
              </w:rPr>
              <w:t xml:space="preserve">, </w:t>
            </w:r>
            <w:r>
              <w:rPr>
                <w:rFonts w:hint="eastAsia" w:eastAsia="MS Mincho"/>
                <w:color w:val="FF0000"/>
                <w:sz w:val="20"/>
              </w:rPr>
              <w:t>each resource contain an unlimited number of antenna ports</w:t>
            </w:r>
            <w:r>
              <w:rPr>
                <w:rFonts w:hint="eastAsia" w:eastAsia="宋体"/>
                <w:color w:val="FF0000"/>
                <w:sz w:val="20"/>
                <w:lang w:val="en-US" w:eastAsia="zh-CN"/>
              </w:rPr>
              <w:t>.</w:t>
            </w:r>
            <w:r>
              <w:rPr>
                <w:rFonts w:hint="eastAsia" w:eastAsia="MS Mincho"/>
                <w:color w:val="FF0000"/>
                <w:sz w:val="20"/>
              </w:rPr>
              <w:t xml:space="preserve"> </w:t>
            </w:r>
          </w:p>
          <w:p>
            <w:pPr>
              <w:pStyle w:val="24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240" w:lineRule="auto"/>
              <w:ind w:right="0"/>
              <w:jc w:val="center"/>
              <w:textAlignment w:val="baseline"/>
              <w:rPr>
                <w:rFonts w:hint="default" w:eastAsia="宋体"/>
                <w:i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FF0000"/>
                <w:sz w:val="20"/>
                <w:lang w:eastAsia="zh-CN"/>
              </w:rPr>
              <w:t>*** Unchanged text is omitted ***</w:t>
            </w:r>
          </w:p>
        </w:tc>
      </w:tr>
    </w:tbl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>F</w:t>
      </w:r>
      <w:r>
        <w:rPr>
          <w:rFonts w:hint="default"/>
          <w:b/>
          <w:sz w:val="21"/>
          <w:szCs w:val="21"/>
          <w:lang w:val="en-US" w:eastAsia="zh-CN"/>
        </w:rPr>
        <w:t>or Type 1 SD adaptation, Type 2 SD adaptation and/or PD adaptation, the number of CSI-RS ports contained in one or more CSI-RS resources associated with a sub-configuration shall not have the restrictions described in TS 38.214 above.</w:t>
      </w:r>
    </w:p>
    <w:p>
      <w:pPr>
        <w:pStyle w:val="4"/>
        <w:spacing w:before="0" w:after="0" w:line="240" w:lineRule="auto"/>
        <w:jc w:val="left"/>
        <w:rPr>
          <w:rFonts w:hint="default"/>
          <w:b/>
          <w:bCs/>
          <w:strike w:val="0"/>
          <w:kern w:val="32"/>
          <w:sz w:val="32"/>
          <w:szCs w:val="32"/>
          <w:lang w:val="en-US" w:eastAsia="zh-CN"/>
        </w:rPr>
      </w:pPr>
      <w:r>
        <w:rPr>
          <w:b/>
          <w:lang w:val="en-US" w:eastAsia="zh-CN"/>
        </w:rPr>
        <w:t>CPU counting</w:t>
      </w:r>
    </w:p>
    <w:p>
      <w:pPr>
        <w:spacing w:before="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previous meetings, consensus has been reached on the CPU calculation method without </w:t>
      </w:r>
      <w:r>
        <w:rPr>
          <w:rFonts w:hint="eastAsia"/>
          <w:lang w:val="en-US" w:eastAsia="zh-CN"/>
        </w:rPr>
        <w:t>CSI payload reduction</w:t>
      </w:r>
      <w:r>
        <w:rPr>
          <w:rFonts w:hint="default"/>
          <w:lang w:val="en-US" w:eastAsia="zh-CN"/>
        </w:rPr>
        <w:t xml:space="preserve">. However, for the case </w:t>
      </w:r>
      <w:r>
        <w:rPr>
          <w:rFonts w:hint="eastAsia"/>
          <w:lang w:val="en-US" w:eastAsia="zh-CN"/>
        </w:rPr>
        <w:t xml:space="preserve">with </w:t>
      </w:r>
      <w:r>
        <w:rPr>
          <w:rFonts w:hint="default"/>
          <w:lang w:val="en-US" w:eastAsia="zh-CN"/>
        </w:rPr>
        <w:t xml:space="preserve">CSI </w:t>
      </w:r>
      <w:r>
        <w:rPr>
          <w:rFonts w:hint="eastAsia"/>
          <w:lang w:val="en-US" w:eastAsia="zh-CN"/>
        </w:rPr>
        <w:t>pay</w:t>
      </w:r>
      <w:r>
        <w:rPr>
          <w:rFonts w:hint="default"/>
          <w:lang w:val="en-US" w:eastAsia="zh-CN"/>
        </w:rPr>
        <w:t xml:space="preserve">load reduction, there is no consensus on the CPU calculation method. </w:t>
      </w:r>
    </w:p>
    <w:p>
      <w:pPr>
        <w:numPr>
          <w:ilvl w:val="0"/>
          <w:numId w:val="0"/>
        </w:numPr>
        <w:spacing w:before="0" w:after="0" w:afterLines="50" w:line="360" w:lineRule="auto"/>
        <w:jc w:val="both"/>
        <w:rPr>
          <w:rFonts w:hint="default"/>
          <w:szCs w:val="20"/>
          <w:lang w:val="en-US" w:eastAsia="zh-CN"/>
        </w:rPr>
      </w:pPr>
      <w:r>
        <w:rPr>
          <w:rFonts w:hint="default"/>
          <w:lang w:val="en-US" w:eastAsia="zh-CN"/>
        </w:rPr>
        <w:t xml:space="preserve">From my understanding, the CPU calculation method </w:t>
      </w:r>
      <w:r>
        <w:rPr>
          <w:rFonts w:hint="eastAsia"/>
          <w:lang w:val="en-US" w:eastAsia="zh-CN"/>
        </w:rPr>
        <w:t>with</w:t>
      </w:r>
      <w:r>
        <w:rPr>
          <w:rFonts w:hint="default"/>
          <w:lang w:val="en-US" w:eastAsia="zh-CN"/>
        </w:rPr>
        <w:t xml:space="preserve"> CSI </w:t>
      </w:r>
      <w:r>
        <w:rPr>
          <w:rFonts w:hint="eastAsia"/>
          <w:lang w:val="en-US" w:eastAsia="zh-CN"/>
        </w:rPr>
        <w:t>pay</w:t>
      </w:r>
      <w:r>
        <w:rPr>
          <w:rFonts w:hint="default"/>
          <w:lang w:val="en-US" w:eastAsia="zh-CN"/>
        </w:rPr>
        <w:t xml:space="preserve">load reduction can be done at least for Type 1 SD adaptation. Specifically, for Type 1 SD adaptation, if L sub-configurations can share a common CRI, then , </w:t>
      </w:r>
      <m:oMath>
        <m:sSub>
          <m:sSubPr>
            <m:ctrlPr>
              <w:rPr>
                <w:rFonts w:ascii="Cambria Math" w:hAnsi="Cambria Math" w:eastAsia="Malgun Gothic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Cs w:val="20"/>
                <w:lang w:eastAsia="zh-CN"/>
              </w:rPr>
              <m:t>O</m:t>
            </m:r>
            <m:ctrlPr>
              <w:rPr>
                <w:rFonts w:ascii="Cambria Math" w:hAnsi="Cambria Math" w:eastAsia="Malgun Gothic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Cs w:val="20"/>
                <w:lang w:eastAsia="zh-CN"/>
              </w:rPr>
              <m:t>CPU</m:t>
            </m:r>
            <m:ctrlPr>
              <w:rPr>
                <w:rFonts w:ascii="Cambria Math" w:hAnsi="Cambria Math" w:eastAsia="Malgun Gothic"/>
                <w:szCs w:val="20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Cs w:val="20"/>
            <w:lang w:eastAsia="zh-CN"/>
          </w:rPr>
          <m:t>=</m:t>
        </m:r>
        <m:sSub>
          <m:sSubP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Malgun Gothic"/>
                <w:szCs w:val="20"/>
                <w:lang w:val="en-US" w:eastAsia="zh-CN"/>
              </w:rPr>
              <m:t>K</m:t>
            </m: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Malgun Gothic"/>
                <w:szCs w:val="20"/>
                <w:lang w:val="en-US" w:eastAsia="zh-CN"/>
              </w:rPr>
              <m:t>s</m:t>
            </m: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Malgun Gothic"/>
            <w:szCs w:val="20"/>
            <w:lang w:val="en-US" w:eastAsia="zh-CN"/>
          </w:rPr>
          <m:t xml:space="preserve"> +N−1</m:t>
        </m:r>
      </m:oMath>
      <w:r>
        <w:rPr>
          <w:rFonts w:hint="eastAsia" w:hAnsi="Cambria Math" w:eastAsia="Malgun Gothic"/>
          <w:b w:val="0"/>
          <w:i w:val="0"/>
          <w:szCs w:val="20"/>
          <w:lang w:val="en-US" w:eastAsia="zh-CN"/>
        </w:rPr>
        <w:t xml:space="preserve">, </w:t>
      </w:r>
      <w:r>
        <w:rPr>
          <w:rFonts w:hint="default"/>
          <w:szCs w:val="20"/>
          <w:lang w:val="en-US" w:eastAsia="zh-CN"/>
        </w:rPr>
        <w:t xml:space="preserve">where </w:t>
      </w:r>
      <m:oMath>
        <m:sSub>
          <m:sSubP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Malgun Gothic"/>
                <w:szCs w:val="20"/>
                <w:lang w:val="en-US" w:eastAsia="zh-CN"/>
              </w:rPr>
              <m:t>K</m:t>
            </m: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Malgun Gothic"/>
                <w:szCs w:val="20"/>
                <w:lang w:val="en-US" w:eastAsia="zh-CN"/>
              </w:rPr>
              <m:t>s</m:t>
            </m:r>
            <m:ctrlPr>
              <w:rPr>
                <w:rFonts w:hint="default" w:ascii="Cambria Math" w:hAnsi="Cambria Math" w:eastAsia="Malgun Gothic"/>
                <w:szCs w:val="20"/>
                <w:lang w:val="en-US" w:eastAsia="zh-CN"/>
              </w:rPr>
            </m:ctrlPr>
          </m:sub>
        </m:sSub>
      </m:oMath>
      <w:r>
        <w:rPr>
          <w:rFonts w:hint="eastAsia" w:hAnsi="Cambria Math" w:eastAsia="Malgun Gothic"/>
          <w:i w:val="0"/>
          <w:szCs w:val="20"/>
          <w:lang w:val="en-US" w:eastAsia="zh-CN"/>
        </w:rPr>
        <w:t xml:space="preserve"> </w:t>
      </w:r>
      <w:r>
        <w:rPr>
          <w:rFonts w:hint="default"/>
          <w:szCs w:val="20"/>
          <w:lang w:val="en-US" w:eastAsia="zh-CN"/>
        </w:rPr>
        <w:t>is the total number of CSI-RS resources corresponding to the sub-configuration with the largest number of ports among the L sub-configurations.</w:t>
      </w:r>
    </w:p>
    <w:p>
      <w:pPr>
        <w:spacing w:before="60" w:after="60" w:line="360" w:lineRule="auto"/>
        <w:jc w:val="both"/>
        <w:rPr>
          <w:rFonts w:hint="default"/>
          <w:b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>For Type 1 SD adaptation,</w:t>
      </w:r>
      <w:r>
        <w:rPr>
          <w:rFonts w:hint="eastAsia"/>
          <w:b/>
          <w:bCs w:val="0"/>
          <w:sz w:val="21"/>
          <w:szCs w:val="21"/>
          <w:lang w:val="en-US" w:eastAsia="zh-CN"/>
        </w:rPr>
        <w:t xml:space="preserve"> </w:t>
      </w:r>
      <m:oMath>
        <m:sSub>
          <m:sSubP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O</m:t>
            </m: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CPU</m:t>
            </m: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sub>
        </m:sSub>
        <m:r>
          <m:rPr>
            <m:sty m:val="b"/>
          </m:rPr>
          <w:rPr>
            <w:rFonts w:hint="eastAsia" w:ascii="Cambria Math" w:hAnsi="Cambria Math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K</m:t>
            </m: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s</m:t>
            </m:r>
            <m:ctrlPr>
              <w:rPr>
                <w:rFonts w:hint="eastAsia" w:ascii="Cambria Math" w:hAnsi="Cambria Math"/>
                <w:b/>
                <w:bCs w:val="0"/>
                <w:sz w:val="21"/>
                <w:szCs w:val="21"/>
                <w:lang w:val="en-US" w:eastAsia="zh-CN"/>
              </w:rPr>
            </m:ctrlPr>
          </m:sub>
        </m:sSub>
        <m:r>
          <m:rPr>
            <m:sty m:val="b"/>
          </m:rPr>
          <w:rPr>
            <w:rFonts w:hint="default" w:ascii="Cambria Math" w:hAnsi="Cambria Math"/>
            <w:sz w:val="21"/>
            <w:szCs w:val="21"/>
            <w:lang w:val="en-US" w:eastAsia="zh-CN"/>
          </w:rPr>
          <m:t xml:space="preserve"> +N−1</m:t>
        </m:r>
      </m:oMath>
      <w:r>
        <w:rPr>
          <w:rFonts w:hint="eastAsia"/>
          <w:b/>
          <w:bCs w:val="0"/>
          <w:sz w:val="21"/>
          <w:szCs w:val="21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60" w:after="60" w:line="360" w:lineRule="auto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this contribution, remaining NES techniques in spatial and power domains</w:t>
      </w:r>
      <w:r>
        <w:rPr>
          <w:rFonts w:hint="eastAsia"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are discussed, and the following proposals are made.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>Proposal 1  For Type 1 SD adaptation and/or for PD adaptation, all sub-configurations can be assumed to share the same CRI.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2  </w:t>
      </w:r>
      <w:r>
        <w:rPr>
          <w:rFonts w:hint="eastAsia"/>
          <w:b/>
          <w:sz w:val="21"/>
          <w:szCs w:val="21"/>
          <w:lang w:val="en-US" w:eastAsia="zh-CN"/>
        </w:rPr>
        <w:t>F</w:t>
      </w:r>
      <w:bookmarkStart w:id="14" w:name="_GoBack"/>
      <w:bookmarkEnd w:id="14"/>
      <w:r>
        <w:rPr>
          <w:rFonts w:hint="default"/>
          <w:b/>
          <w:sz w:val="21"/>
          <w:szCs w:val="21"/>
          <w:lang w:val="en-US" w:eastAsia="zh-CN"/>
        </w:rPr>
        <w:t>or Type 1 SD adaptation, Type 2 SD adaptation and/or PD adaptation, the number of CSI-RS ports contained in one or more CSI-RS resources associated with a sub-configuration shall not have the restrictions described in TS 38.214 above.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3  For Type 1 SD adaptation, </w:t>
      </w:r>
      <m:oMath>
        <m:sSub>
          <m:sSubP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O</m:t>
            </m: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CPU</m:t>
            </m: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sub>
        </m:sSub>
        <m:r>
          <m:rPr>
            <m:sty m:val="b"/>
          </m:rPr>
          <w:rPr>
            <w:rFonts w:hint="default" w:ascii="Cambria Math" w:hAnsi="Cambria Math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K</m:t>
            </m: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s</m:t>
            </m:r>
            <m:ctrlPr>
              <w:rPr>
                <w:rFonts w:hint="default" w:ascii="Cambria Math" w:hAnsi="Cambria Math"/>
                <w:b/>
                <w:sz w:val="21"/>
                <w:szCs w:val="21"/>
                <w:lang w:val="en-US" w:eastAsia="zh-CN"/>
              </w:rPr>
            </m:ctrlPr>
          </m:sub>
        </m:sSub>
        <m:r>
          <m:rPr>
            <m:sty m:val="b"/>
          </m:rPr>
          <w:rPr>
            <w:rFonts w:hint="default" w:ascii="Cambria Math" w:hAnsi="Cambria Math"/>
            <w:sz w:val="21"/>
            <w:szCs w:val="21"/>
            <w:lang w:val="en-US" w:eastAsia="zh-CN"/>
          </w:rPr>
          <m:t xml:space="preserve"> +N−1</m:t>
        </m:r>
      </m:oMath>
      <w:r>
        <w:rPr>
          <w:rFonts w:hint="default"/>
          <w:b/>
          <w:sz w:val="21"/>
          <w:szCs w:val="21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4"/>
        <w:numPr>
          <w:ilvl w:val="0"/>
          <w:numId w:val="14"/>
        </w:numPr>
        <w:spacing w:before="0" w:line="360" w:lineRule="auto"/>
        <w:ind w:left="0" w:leftChars="0" w:firstLine="0"/>
        <w:jc w:val="both"/>
        <w:rPr>
          <w:rFonts w:ascii="Times New Roman" w:hAnsi="Times New Roman"/>
          <w:lang w:val="zh-CN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</w:t>
      </w:r>
      <w:r>
        <w:rPr>
          <w:rFonts w:ascii="Times New Roman" w:hAnsi="Times New Roman"/>
          <w:sz w:val="20"/>
        </w:rPr>
        <w:t>Draft Report of 3GPP TSG RAN WG1 #114 v0.1.0</w:t>
      </w:r>
      <w:r>
        <w:rPr>
          <w:rFonts w:hint="default" w:ascii="Times New Roman" w:hAnsi="Times New Roman" w:eastAsia="宋体"/>
          <w:sz w:val="20"/>
          <w:lang w:val="en-US" w:eastAsia="zh-CN"/>
        </w:rPr>
        <w:t>” , RAN1#11</w:t>
      </w:r>
      <w:r>
        <w:rPr>
          <w:rFonts w:hint="eastAsia" w:ascii="Times New Roman" w:hAnsi="Times New Roman" w:eastAsia="宋体"/>
          <w:sz w:val="20"/>
          <w:lang w:val="en-US" w:eastAsia="zh-CN"/>
        </w:rPr>
        <w:t>4</w:t>
      </w:r>
    </w:p>
    <w:p>
      <w:pPr>
        <w:pStyle w:val="24"/>
        <w:numPr>
          <w:ilvl w:val="0"/>
          <w:numId w:val="14"/>
        </w:numPr>
        <w:spacing w:before="0" w:line="360" w:lineRule="auto"/>
        <w:ind w:left="0" w:leftChars="0" w:firstLine="0"/>
        <w:jc w:val="both"/>
        <w:rPr>
          <w:rFonts w:ascii="Times New Roman" w:hAnsi="Times New Roman"/>
          <w:lang w:val="zh-CN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“Draft Report of 3GPP TSG RAN WG1 #113 v0.1.0” , RAN1#11</w:t>
      </w:r>
      <w:r>
        <w:rPr>
          <w:rFonts w:hint="eastAsia" w:ascii="Times New Roman" w:hAnsi="Times New Roman" w:eastAsia="宋体"/>
          <w:sz w:val="20"/>
          <w:lang w:val="en-US" w:eastAsia="zh-CN"/>
        </w:rPr>
        <w:t>3</w:t>
      </w:r>
    </w:p>
    <w:p>
      <w:pPr>
        <w:rPr>
          <w:lang w:eastAsia="zh-CN"/>
        </w:rPr>
      </w:pPr>
    </w:p>
    <w:p/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F3D466F"/>
    <w:multiLevelType w:val="multilevel"/>
    <w:tmpl w:val="0F3D46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F82C84"/>
    <w:multiLevelType w:val="multilevel"/>
    <w:tmpl w:val="14F82C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FD14460"/>
    <w:multiLevelType w:val="multilevel"/>
    <w:tmpl w:val="1FD1446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B6A3391"/>
    <w:multiLevelType w:val="multilevel"/>
    <w:tmpl w:val="2B6A339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032EBD"/>
    <w:multiLevelType w:val="multilevel"/>
    <w:tmpl w:val="2C032EBD"/>
    <w:lvl w:ilvl="0" w:tentative="0">
      <w:start w:val="1"/>
      <w:numFmt w:val="decimal"/>
      <w:pStyle w:val="36"/>
      <w:suff w:val="nothing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2C864D5A"/>
    <w:multiLevelType w:val="multilevel"/>
    <w:tmpl w:val="2C864D5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8926C73"/>
    <w:multiLevelType w:val="multilevel"/>
    <w:tmpl w:val="38926C7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B54959"/>
    <w:multiLevelType w:val="multilevel"/>
    <w:tmpl w:val="3BB549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6B43B29"/>
    <w:multiLevelType w:val="multilevel"/>
    <w:tmpl w:val="46B43B29"/>
    <w:lvl w:ilvl="0" w:tentative="0">
      <w:start w:val="1"/>
      <w:numFmt w:val="decimal"/>
      <w:pStyle w:val="37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60736FA8"/>
    <w:multiLevelType w:val="multilevel"/>
    <w:tmpl w:val="60736FA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46F31BA"/>
    <w:multiLevelType w:val="multilevel"/>
    <w:tmpl w:val="646F31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  <w:num w:numId="12">
    <w:abstractNumId w:val="13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D1DA1"/>
    <w:rsid w:val="004C43F2"/>
    <w:rsid w:val="0060438D"/>
    <w:rsid w:val="009F3794"/>
    <w:rsid w:val="013375C0"/>
    <w:rsid w:val="015F6F7F"/>
    <w:rsid w:val="017D1AFD"/>
    <w:rsid w:val="019046E2"/>
    <w:rsid w:val="01A05F8F"/>
    <w:rsid w:val="01A916C8"/>
    <w:rsid w:val="02032E44"/>
    <w:rsid w:val="02366D2D"/>
    <w:rsid w:val="024042FC"/>
    <w:rsid w:val="024E722D"/>
    <w:rsid w:val="025362DD"/>
    <w:rsid w:val="027C407A"/>
    <w:rsid w:val="02821545"/>
    <w:rsid w:val="02BA26ED"/>
    <w:rsid w:val="02F74B18"/>
    <w:rsid w:val="02FA7D70"/>
    <w:rsid w:val="03292219"/>
    <w:rsid w:val="03333EBB"/>
    <w:rsid w:val="03350E4E"/>
    <w:rsid w:val="03575F0B"/>
    <w:rsid w:val="039242F7"/>
    <w:rsid w:val="0394123C"/>
    <w:rsid w:val="03B43171"/>
    <w:rsid w:val="03C91DEF"/>
    <w:rsid w:val="03E94361"/>
    <w:rsid w:val="043D1681"/>
    <w:rsid w:val="046105A7"/>
    <w:rsid w:val="048146F4"/>
    <w:rsid w:val="04AD75C9"/>
    <w:rsid w:val="04B321A1"/>
    <w:rsid w:val="04DD3789"/>
    <w:rsid w:val="050B2FD3"/>
    <w:rsid w:val="0531360E"/>
    <w:rsid w:val="057C458C"/>
    <w:rsid w:val="05B96172"/>
    <w:rsid w:val="05BB3F1A"/>
    <w:rsid w:val="05BE0571"/>
    <w:rsid w:val="062D641E"/>
    <w:rsid w:val="06467E10"/>
    <w:rsid w:val="06631006"/>
    <w:rsid w:val="068B669D"/>
    <w:rsid w:val="06B22BCB"/>
    <w:rsid w:val="06C226A4"/>
    <w:rsid w:val="06DB01C7"/>
    <w:rsid w:val="06FD7C23"/>
    <w:rsid w:val="07412138"/>
    <w:rsid w:val="07431126"/>
    <w:rsid w:val="075014AD"/>
    <w:rsid w:val="076B5129"/>
    <w:rsid w:val="079743E7"/>
    <w:rsid w:val="07A03B2F"/>
    <w:rsid w:val="07F62E01"/>
    <w:rsid w:val="07F6721E"/>
    <w:rsid w:val="07FF0265"/>
    <w:rsid w:val="080F7EB0"/>
    <w:rsid w:val="082657EF"/>
    <w:rsid w:val="08575FBE"/>
    <w:rsid w:val="08CA2A7A"/>
    <w:rsid w:val="092E279E"/>
    <w:rsid w:val="09386CEF"/>
    <w:rsid w:val="095945BF"/>
    <w:rsid w:val="095E2632"/>
    <w:rsid w:val="096B4801"/>
    <w:rsid w:val="09891C4A"/>
    <w:rsid w:val="09C11875"/>
    <w:rsid w:val="0A940E9D"/>
    <w:rsid w:val="0AB5350C"/>
    <w:rsid w:val="0AC53B39"/>
    <w:rsid w:val="0AC8754E"/>
    <w:rsid w:val="0AD04CB6"/>
    <w:rsid w:val="0B100892"/>
    <w:rsid w:val="0B4F2D08"/>
    <w:rsid w:val="0B5645CC"/>
    <w:rsid w:val="0B5A0448"/>
    <w:rsid w:val="0B5A402C"/>
    <w:rsid w:val="0B6658C1"/>
    <w:rsid w:val="0B7E082A"/>
    <w:rsid w:val="0BCA33E7"/>
    <w:rsid w:val="0BF73ECA"/>
    <w:rsid w:val="0C23292D"/>
    <w:rsid w:val="0C347213"/>
    <w:rsid w:val="0C6B3E4C"/>
    <w:rsid w:val="0C7A3E69"/>
    <w:rsid w:val="0C7D670E"/>
    <w:rsid w:val="0C950531"/>
    <w:rsid w:val="0CA156F1"/>
    <w:rsid w:val="0CCA2F89"/>
    <w:rsid w:val="0D8008CF"/>
    <w:rsid w:val="0D9F3231"/>
    <w:rsid w:val="0DD86B06"/>
    <w:rsid w:val="0DFE15A3"/>
    <w:rsid w:val="0E2C3933"/>
    <w:rsid w:val="0E4D44EF"/>
    <w:rsid w:val="0EC53BA2"/>
    <w:rsid w:val="0EF85813"/>
    <w:rsid w:val="0F0A34B9"/>
    <w:rsid w:val="0F0B0B79"/>
    <w:rsid w:val="0F164D4D"/>
    <w:rsid w:val="0F524340"/>
    <w:rsid w:val="0FD746B6"/>
    <w:rsid w:val="0FD94151"/>
    <w:rsid w:val="0FDF4796"/>
    <w:rsid w:val="102C5B4B"/>
    <w:rsid w:val="10931CC7"/>
    <w:rsid w:val="10944832"/>
    <w:rsid w:val="109F6DB9"/>
    <w:rsid w:val="10AC2681"/>
    <w:rsid w:val="10AC49F6"/>
    <w:rsid w:val="10CF5F65"/>
    <w:rsid w:val="10F51AD3"/>
    <w:rsid w:val="11026C66"/>
    <w:rsid w:val="116F1BA9"/>
    <w:rsid w:val="117265AD"/>
    <w:rsid w:val="11B756A0"/>
    <w:rsid w:val="12132537"/>
    <w:rsid w:val="122303E8"/>
    <w:rsid w:val="123D56D9"/>
    <w:rsid w:val="1277049E"/>
    <w:rsid w:val="127C17B7"/>
    <w:rsid w:val="12930507"/>
    <w:rsid w:val="12960691"/>
    <w:rsid w:val="12BA2945"/>
    <w:rsid w:val="13482D09"/>
    <w:rsid w:val="13C04A78"/>
    <w:rsid w:val="13E0347F"/>
    <w:rsid w:val="13F554B1"/>
    <w:rsid w:val="1412359B"/>
    <w:rsid w:val="141D7D84"/>
    <w:rsid w:val="14327D73"/>
    <w:rsid w:val="1443024D"/>
    <w:rsid w:val="145C6F22"/>
    <w:rsid w:val="14846AB8"/>
    <w:rsid w:val="14904AC9"/>
    <w:rsid w:val="14952657"/>
    <w:rsid w:val="14AC682E"/>
    <w:rsid w:val="14C53B07"/>
    <w:rsid w:val="15682461"/>
    <w:rsid w:val="15690030"/>
    <w:rsid w:val="15AD3A82"/>
    <w:rsid w:val="15B87DAF"/>
    <w:rsid w:val="15B910B3"/>
    <w:rsid w:val="15BE553B"/>
    <w:rsid w:val="15CD44D1"/>
    <w:rsid w:val="15CE7E95"/>
    <w:rsid w:val="15E82AFC"/>
    <w:rsid w:val="16057EAE"/>
    <w:rsid w:val="16501227"/>
    <w:rsid w:val="167133BD"/>
    <w:rsid w:val="16CE5378"/>
    <w:rsid w:val="17326BFF"/>
    <w:rsid w:val="173340E6"/>
    <w:rsid w:val="17363AA3"/>
    <w:rsid w:val="175A06A8"/>
    <w:rsid w:val="177F1200"/>
    <w:rsid w:val="17846D8A"/>
    <w:rsid w:val="17D7362C"/>
    <w:rsid w:val="17E3743F"/>
    <w:rsid w:val="17EF5450"/>
    <w:rsid w:val="183D7BCD"/>
    <w:rsid w:val="183E7952"/>
    <w:rsid w:val="18B21AD6"/>
    <w:rsid w:val="18DC6CB5"/>
    <w:rsid w:val="18EA08C6"/>
    <w:rsid w:val="190A653F"/>
    <w:rsid w:val="19286D8E"/>
    <w:rsid w:val="19B21C39"/>
    <w:rsid w:val="19B6063F"/>
    <w:rsid w:val="19C10D3B"/>
    <w:rsid w:val="19EC37E0"/>
    <w:rsid w:val="19F743DF"/>
    <w:rsid w:val="1A081343"/>
    <w:rsid w:val="1A682661"/>
    <w:rsid w:val="1A845156"/>
    <w:rsid w:val="1A942215"/>
    <w:rsid w:val="1A9C7638"/>
    <w:rsid w:val="1AB56EDD"/>
    <w:rsid w:val="1AE945CD"/>
    <w:rsid w:val="1B317B2B"/>
    <w:rsid w:val="1B6415FF"/>
    <w:rsid w:val="1B8E2ADC"/>
    <w:rsid w:val="1BCA6A25"/>
    <w:rsid w:val="1BED197A"/>
    <w:rsid w:val="1C4A27F6"/>
    <w:rsid w:val="1C733AA2"/>
    <w:rsid w:val="1D035828"/>
    <w:rsid w:val="1D176197"/>
    <w:rsid w:val="1D3A2CBF"/>
    <w:rsid w:val="1D4E0DE6"/>
    <w:rsid w:val="1D5F3C1E"/>
    <w:rsid w:val="1D786CA0"/>
    <w:rsid w:val="1D84707B"/>
    <w:rsid w:val="1E264D88"/>
    <w:rsid w:val="1E3723A2"/>
    <w:rsid w:val="1E76101B"/>
    <w:rsid w:val="1EE24A39"/>
    <w:rsid w:val="1F0868CC"/>
    <w:rsid w:val="1F1402D1"/>
    <w:rsid w:val="1F171A10"/>
    <w:rsid w:val="1F494461"/>
    <w:rsid w:val="1F713F17"/>
    <w:rsid w:val="1FBF3122"/>
    <w:rsid w:val="1FBF7ED9"/>
    <w:rsid w:val="20273EC1"/>
    <w:rsid w:val="203E1579"/>
    <w:rsid w:val="20486C30"/>
    <w:rsid w:val="204B0788"/>
    <w:rsid w:val="207C0B93"/>
    <w:rsid w:val="20DC4847"/>
    <w:rsid w:val="20F63118"/>
    <w:rsid w:val="20FD208A"/>
    <w:rsid w:val="21486D50"/>
    <w:rsid w:val="214D4EB3"/>
    <w:rsid w:val="21A835A0"/>
    <w:rsid w:val="21C71C6C"/>
    <w:rsid w:val="21F51F69"/>
    <w:rsid w:val="224131C1"/>
    <w:rsid w:val="226804C4"/>
    <w:rsid w:val="22AE7F72"/>
    <w:rsid w:val="22B456FE"/>
    <w:rsid w:val="22EE7297"/>
    <w:rsid w:val="22F60E5E"/>
    <w:rsid w:val="22FD69AE"/>
    <w:rsid w:val="230B5C6A"/>
    <w:rsid w:val="23307003"/>
    <w:rsid w:val="23543698"/>
    <w:rsid w:val="2364421D"/>
    <w:rsid w:val="2378316C"/>
    <w:rsid w:val="238060CC"/>
    <w:rsid w:val="23AB02F8"/>
    <w:rsid w:val="23DF60E5"/>
    <w:rsid w:val="24222D39"/>
    <w:rsid w:val="24770AA7"/>
    <w:rsid w:val="24821172"/>
    <w:rsid w:val="249C66CB"/>
    <w:rsid w:val="254215B0"/>
    <w:rsid w:val="259F0F36"/>
    <w:rsid w:val="25A70C2B"/>
    <w:rsid w:val="25BF7538"/>
    <w:rsid w:val="25E25F7B"/>
    <w:rsid w:val="25F67536"/>
    <w:rsid w:val="25FA3B44"/>
    <w:rsid w:val="26014383"/>
    <w:rsid w:val="26025AC5"/>
    <w:rsid w:val="26126405"/>
    <w:rsid w:val="265817DB"/>
    <w:rsid w:val="26685E4E"/>
    <w:rsid w:val="26710598"/>
    <w:rsid w:val="26AE0482"/>
    <w:rsid w:val="26B44F89"/>
    <w:rsid w:val="26C329A6"/>
    <w:rsid w:val="26D50A2C"/>
    <w:rsid w:val="26E87362"/>
    <w:rsid w:val="26FF6F87"/>
    <w:rsid w:val="270A607F"/>
    <w:rsid w:val="27390764"/>
    <w:rsid w:val="2759419E"/>
    <w:rsid w:val="27CE415D"/>
    <w:rsid w:val="27E2757A"/>
    <w:rsid w:val="28357004"/>
    <w:rsid w:val="283A0B9D"/>
    <w:rsid w:val="283F7913"/>
    <w:rsid w:val="28886E0E"/>
    <w:rsid w:val="28A83AC0"/>
    <w:rsid w:val="28C65A54"/>
    <w:rsid w:val="28FA0047"/>
    <w:rsid w:val="29594B3A"/>
    <w:rsid w:val="297D0620"/>
    <w:rsid w:val="29AA010A"/>
    <w:rsid w:val="2A493383"/>
    <w:rsid w:val="2A74436D"/>
    <w:rsid w:val="2A903960"/>
    <w:rsid w:val="2AEB718E"/>
    <w:rsid w:val="2B15743C"/>
    <w:rsid w:val="2B20324F"/>
    <w:rsid w:val="2B2F1245"/>
    <w:rsid w:val="2B405D02"/>
    <w:rsid w:val="2BC67260"/>
    <w:rsid w:val="2C0608A1"/>
    <w:rsid w:val="2C153FA1"/>
    <w:rsid w:val="2C1A370D"/>
    <w:rsid w:val="2C527E3B"/>
    <w:rsid w:val="2C551733"/>
    <w:rsid w:val="2C7C1F18"/>
    <w:rsid w:val="2C9805ED"/>
    <w:rsid w:val="2CFC5E47"/>
    <w:rsid w:val="2D312F7F"/>
    <w:rsid w:val="2D855F3C"/>
    <w:rsid w:val="2DD11EBE"/>
    <w:rsid w:val="2E273547"/>
    <w:rsid w:val="2E2B3861"/>
    <w:rsid w:val="2E7248C0"/>
    <w:rsid w:val="2E9756A5"/>
    <w:rsid w:val="2ED56B63"/>
    <w:rsid w:val="2F0E473E"/>
    <w:rsid w:val="2F154AA9"/>
    <w:rsid w:val="2F2509C8"/>
    <w:rsid w:val="30045057"/>
    <w:rsid w:val="303F6316"/>
    <w:rsid w:val="3059408B"/>
    <w:rsid w:val="306B247C"/>
    <w:rsid w:val="30A72E79"/>
    <w:rsid w:val="30C920B8"/>
    <w:rsid w:val="30D07C22"/>
    <w:rsid w:val="30F73365"/>
    <w:rsid w:val="31182819"/>
    <w:rsid w:val="312B4AB9"/>
    <w:rsid w:val="31696F75"/>
    <w:rsid w:val="31D56CA3"/>
    <w:rsid w:val="31EB4785"/>
    <w:rsid w:val="32395E90"/>
    <w:rsid w:val="323B6E74"/>
    <w:rsid w:val="327E6664"/>
    <w:rsid w:val="329A7A4B"/>
    <w:rsid w:val="32C02951"/>
    <w:rsid w:val="3300373A"/>
    <w:rsid w:val="334915B0"/>
    <w:rsid w:val="334B2535"/>
    <w:rsid w:val="33D577B5"/>
    <w:rsid w:val="343E6645"/>
    <w:rsid w:val="34712317"/>
    <w:rsid w:val="34881F3C"/>
    <w:rsid w:val="349E40E0"/>
    <w:rsid w:val="34C36886"/>
    <w:rsid w:val="34D46B38"/>
    <w:rsid w:val="35414F6E"/>
    <w:rsid w:val="355F451E"/>
    <w:rsid w:val="355F746B"/>
    <w:rsid w:val="3596247A"/>
    <w:rsid w:val="35A051A4"/>
    <w:rsid w:val="35B567A6"/>
    <w:rsid w:val="35B873B1"/>
    <w:rsid w:val="35CD717E"/>
    <w:rsid w:val="3618394C"/>
    <w:rsid w:val="364C2EB6"/>
    <w:rsid w:val="365921B8"/>
    <w:rsid w:val="36665823"/>
    <w:rsid w:val="36852913"/>
    <w:rsid w:val="36AB17B2"/>
    <w:rsid w:val="36F210B1"/>
    <w:rsid w:val="370308EE"/>
    <w:rsid w:val="373950A9"/>
    <w:rsid w:val="37467121"/>
    <w:rsid w:val="375B44B7"/>
    <w:rsid w:val="379B18CA"/>
    <w:rsid w:val="37A2030E"/>
    <w:rsid w:val="37DB3F30"/>
    <w:rsid w:val="380C2E83"/>
    <w:rsid w:val="38440A5E"/>
    <w:rsid w:val="385007D9"/>
    <w:rsid w:val="385E4E8B"/>
    <w:rsid w:val="38B44595"/>
    <w:rsid w:val="38C735B6"/>
    <w:rsid w:val="38CB386D"/>
    <w:rsid w:val="38D146E8"/>
    <w:rsid w:val="38E11BE1"/>
    <w:rsid w:val="38F44549"/>
    <w:rsid w:val="39003390"/>
    <w:rsid w:val="39456083"/>
    <w:rsid w:val="39463B04"/>
    <w:rsid w:val="39607F31"/>
    <w:rsid w:val="39664B4C"/>
    <w:rsid w:val="396A0841"/>
    <w:rsid w:val="396A4FBD"/>
    <w:rsid w:val="39A07E84"/>
    <w:rsid w:val="39A74E22"/>
    <w:rsid w:val="39B52A0B"/>
    <w:rsid w:val="39B82B3E"/>
    <w:rsid w:val="39BC1544"/>
    <w:rsid w:val="39C80BDA"/>
    <w:rsid w:val="39ED44B5"/>
    <w:rsid w:val="3A5F5DCE"/>
    <w:rsid w:val="3ACC4C05"/>
    <w:rsid w:val="3B1508C2"/>
    <w:rsid w:val="3B296135"/>
    <w:rsid w:val="3B5206E1"/>
    <w:rsid w:val="3B702D5E"/>
    <w:rsid w:val="3B9B1DDA"/>
    <w:rsid w:val="3BB64FAE"/>
    <w:rsid w:val="3C196E25"/>
    <w:rsid w:val="3C642A5B"/>
    <w:rsid w:val="3CA209B6"/>
    <w:rsid w:val="3CBF66BA"/>
    <w:rsid w:val="3CCC59CF"/>
    <w:rsid w:val="3CEA4F7F"/>
    <w:rsid w:val="3D045D81"/>
    <w:rsid w:val="3D0750B4"/>
    <w:rsid w:val="3D0955CD"/>
    <w:rsid w:val="3D130342"/>
    <w:rsid w:val="3D274DE4"/>
    <w:rsid w:val="3D6A0D51"/>
    <w:rsid w:val="3DAD4CBD"/>
    <w:rsid w:val="3DCB7AF0"/>
    <w:rsid w:val="3DD3111B"/>
    <w:rsid w:val="3DDB3B12"/>
    <w:rsid w:val="3DEC0025"/>
    <w:rsid w:val="3E355E9B"/>
    <w:rsid w:val="3E476C4A"/>
    <w:rsid w:val="3E5F4689"/>
    <w:rsid w:val="3E674F1B"/>
    <w:rsid w:val="3E98013E"/>
    <w:rsid w:val="3F2E5DE7"/>
    <w:rsid w:val="3FC12F51"/>
    <w:rsid w:val="3FC70D8A"/>
    <w:rsid w:val="3FEB617D"/>
    <w:rsid w:val="404771B9"/>
    <w:rsid w:val="40763C0C"/>
    <w:rsid w:val="409B660A"/>
    <w:rsid w:val="409D5390"/>
    <w:rsid w:val="40A53650"/>
    <w:rsid w:val="40B46695"/>
    <w:rsid w:val="40C355D0"/>
    <w:rsid w:val="40EA5638"/>
    <w:rsid w:val="41235B2B"/>
    <w:rsid w:val="41523BBA"/>
    <w:rsid w:val="41560128"/>
    <w:rsid w:val="415916EA"/>
    <w:rsid w:val="41600151"/>
    <w:rsid w:val="41603818"/>
    <w:rsid w:val="417969D8"/>
    <w:rsid w:val="41A67DC1"/>
    <w:rsid w:val="41B53228"/>
    <w:rsid w:val="42454FAA"/>
    <w:rsid w:val="42A81EAB"/>
    <w:rsid w:val="42CC3426"/>
    <w:rsid w:val="430A058D"/>
    <w:rsid w:val="431B31A5"/>
    <w:rsid w:val="432F56C9"/>
    <w:rsid w:val="435646FB"/>
    <w:rsid w:val="43993D8E"/>
    <w:rsid w:val="43E56B7B"/>
    <w:rsid w:val="442339D8"/>
    <w:rsid w:val="44345E70"/>
    <w:rsid w:val="445752F0"/>
    <w:rsid w:val="449700C1"/>
    <w:rsid w:val="449C033E"/>
    <w:rsid w:val="44DF4AD3"/>
    <w:rsid w:val="45806EC3"/>
    <w:rsid w:val="458A5B63"/>
    <w:rsid w:val="45A078CB"/>
    <w:rsid w:val="45DA52A8"/>
    <w:rsid w:val="46686C9E"/>
    <w:rsid w:val="46936C54"/>
    <w:rsid w:val="46CF48BB"/>
    <w:rsid w:val="47153059"/>
    <w:rsid w:val="47341CB9"/>
    <w:rsid w:val="47513B8F"/>
    <w:rsid w:val="476C4C8D"/>
    <w:rsid w:val="478F75F0"/>
    <w:rsid w:val="47CA5A26"/>
    <w:rsid w:val="47F40E1A"/>
    <w:rsid w:val="48285DF1"/>
    <w:rsid w:val="48341C04"/>
    <w:rsid w:val="488E5A9B"/>
    <w:rsid w:val="48AA50C6"/>
    <w:rsid w:val="48AF1F07"/>
    <w:rsid w:val="48B225B7"/>
    <w:rsid w:val="48B64E60"/>
    <w:rsid w:val="48BE1B68"/>
    <w:rsid w:val="48E12E28"/>
    <w:rsid w:val="48F12CEE"/>
    <w:rsid w:val="491A4F96"/>
    <w:rsid w:val="4938000E"/>
    <w:rsid w:val="49670187"/>
    <w:rsid w:val="498558F4"/>
    <w:rsid w:val="499275C2"/>
    <w:rsid w:val="49D135E4"/>
    <w:rsid w:val="4A030B7A"/>
    <w:rsid w:val="4A523E05"/>
    <w:rsid w:val="4A6F7A71"/>
    <w:rsid w:val="4ABD70AF"/>
    <w:rsid w:val="4AE5116D"/>
    <w:rsid w:val="4B1C4ECA"/>
    <w:rsid w:val="4B453C14"/>
    <w:rsid w:val="4BB46FD1"/>
    <w:rsid w:val="4C697CB6"/>
    <w:rsid w:val="4CAE1DD0"/>
    <w:rsid w:val="4CBF7AF9"/>
    <w:rsid w:val="4CC0351C"/>
    <w:rsid w:val="4CD8739E"/>
    <w:rsid w:val="4CF5741A"/>
    <w:rsid w:val="4D121D34"/>
    <w:rsid w:val="4D125D94"/>
    <w:rsid w:val="4D2607A2"/>
    <w:rsid w:val="4D7A3398"/>
    <w:rsid w:val="4DC3281F"/>
    <w:rsid w:val="4E1622A9"/>
    <w:rsid w:val="4E1A2E04"/>
    <w:rsid w:val="4E7F1E84"/>
    <w:rsid w:val="4E897B66"/>
    <w:rsid w:val="4EB76487"/>
    <w:rsid w:val="4EC23A47"/>
    <w:rsid w:val="4EC97E97"/>
    <w:rsid w:val="4ECC0AD3"/>
    <w:rsid w:val="4EE53BFB"/>
    <w:rsid w:val="4EEF51A5"/>
    <w:rsid w:val="4EF33F37"/>
    <w:rsid w:val="4F1254C3"/>
    <w:rsid w:val="4F29663B"/>
    <w:rsid w:val="4F2F631B"/>
    <w:rsid w:val="4F3C0010"/>
    <w:rsid w:val="4F4A0C44"/>
    <w:rsid w:val="4F687927"/>
    <w:rsid w:val="4F706F0D"/>
    <w:rsid w:val="4F760F6C"/>
    <w:rsid w:val="4FA347FC"/>
    <w:rsid w:val="4FE75DA8"/>
    <w:rsid w:val="50252009"/>
    <w:rsid w:val="50737B8A"/>
    <w:rsid w:val="508C72AA"/>
    <w:rsid w:val="508D0734"/>
    <w:rsid w:val="508F4388"/>
    <w:rsid w:val="50CE6F9F"/>
    <w:rsid w:val="50F3395B"/>
    <w:rsid w:val="514B66B9"/>
    <w:rsid w:val="515D4191"/>
    <w:rsid w:val="5165582B"/>
    <w:rsid w:val="517D50F1"/>
    <w:rsid w:val="519669E8"/>
    <w:rsid w:val="51D51D50"/>
    <w:rsid w:val="524F1A19"/>
    <w:rsid w:val="525E29B5"/>
    <w:rsid w:val="52713671"/>
    <w:rsid w:val="528A181C"/>
    <w:rsid w:val="52FF50A3"/>
    <w:rsid w:val="531E1B16"/>
    <w:rsid w:val="53202726"/>
    <w:rsid w:val="53284056"/>
    <w:rsid w:val="532D317B"/>
    <w:rsid w:val="535873AF"/>
    <w:rsid w:val="53B953E8"/>
    <w:rsid w:val="53D75E20"/>
    <w:rsid w:val="53E917BB"/>
    <w:rsid w:val="53FB108F"/>
    <w:rsid w:val="544A7794"/>
    <w:rsid w:val="544F0576"/>
    <w:rsid w:val="547748A2"/>
    <w:rsid w:val="54C2369C"/>
    <w:rsid w:val="54DD7AC9"/>
    <w:rsid w:val="54E3614C"/>
    <w:rsid w:val="553C3366"/>
    <w:rsid w:val="559B138A"/>
    <w:rsid w:val="55C438A2"/>
    <w:rsid w:val="560A4E69"/>
    <w:rsid w:val="56132672"/>
    <w:rsid w:val="56212D9E"/>
    <w:rsid w:val="562B3A79"/>
    <w:rsid w:val="566D52A9"/>
    <w:rsid w:val="56C9096F"/>
    <w:rsid w:val="56E865F9"/>
    <w:rsid w:val="573E3DB0"/>
    <w:rsid w:val="574A5644"/>
    <w:rsid w:val="575514CD"/>
    <w:rsid w:val="57577640"/>
    <w:rsid w:val="57951C1F"/>
    <w:rsid w:val="57A97858"/>
    <w:rsid w:val="57CE7E1C"/>
    <w:rsid w:val="57F21DC7"/>
    <w:rsid w:val="58036524"/>
    <w:rsid w:val="584C7400"/>
    <w:rsid w:val="586E14BF"/>
    <w:rsid w:val="587D0994"/>
    <w:rsid w:val="589775E6"/>
    <w:rsid w:val="58AD7D6B"/>
    <w:rsid w:val="58D21C48"/>
    <w:rsid w:val="58F049E3"/>
    <w:rsid w:val="592B22D7"/>
    <w:rsid w:val="5943166F"/>
    <w:rsid w:val="595B14B9"/>
    <w:rsid w:val="59E31A85"/>
    <w:rsid w:val="5A2605D8"/>
    <w:rsid w:val="5A4A5FB2"/>
    <w:rsid w:val="5A7C2871"/>
    <w:rsid w:val="5A9C28A8"/>
    <w:rsid w:val="5ABC3E58"/>
    <w:rsid w:val="5ABC71EA"/>
    <w:rsid w:val="5AC3152A"/>
    <w:rsid w:val="5AE625AD"/>
    <w:rsid w:val="5B2A0905"/>
    <w:rsid w:val="5BF062E2"/>
    <w:rsid w:val="5C1839E9"/>
    <w:rsid w:val="5CB21C23"/>
    <w:rsid w:val="5CE31FB3"/>
    <w:rsid w:val="5D49561A"/>
    <w:rsid w:val="5D4A529A"/>
    <w:rsid w:val="5D527FD4"/>
    <w:rsid w:val="5D702D81"/>
    <w:rsid w:val="5DD54BFB"/>
    <w:rsid w:val="5DD97608"/>
    <w:rsid w:val="5E0A3D13"/>
    <w:rsid w:val="5E5830B6"/>
    <w:rsid w:val="5E6A0F75"/>
    <w:rsid w:val="5EB36DEA"/>
    <w:rsid w:val="5ECA6000"/>
    <w:rsid w:val="5EE15B23"/>
    <w:rsid w:val="5EE32371"/>
    <w:rsid w:val="5EE412A7"/>
    <w:rsid w:val="5F872646"/>
    <w:rsid w:val="5F8D2114"/>
    <w:rsid w:val="5F946831"/>
    <w:rsid w:val="5FA34174"/>
    <w:rsid w:val="5FF504C8"/>
    <w:rsid w:val="606737AA"/>
    <w:rsid w:val="61140B53"/>
    <w:rsid w:val="61161572"/>
    <w:rsid w:val="612D1A7D"/>
    <w:rsid w:val="614003A6"/>
    <w:rsid w:val="614F54B5"/>
    <w:rsid w:val="61822C96"/>
    <w:rsid w:val="61A907DA"/>
    <w:rsid w:val="61BE4069"/>
    <w:rsid w:val="61CB5D59"/>
    <w:rsid w:val="61EC513F"/>
    <w:rsid w:val="61FC55CD"/>
    <w:rsid w:val="62486582"/>
    <w:rsid w:val="625957CD"/>
    <w:rsid w:val="62C87348"/>
    <w:rsid w:val="62EF34B9"/>
    <w:rsid w:val="62FF1157"/>
    <w:rsid w:val="63026180"/>
    <w:rsid w:val="631D47AB"/>
    <w:rsid w:val="63562CB6"/>
    <w:rsid w:val="63E31B13"/>
    <w:rsid w:val="644C405D"/>
    <w:rsid w:val="6464757D"/>
    <w:rsid w:val="655F707E"/>
    <w:rsid w:val="657F68C1"/>
    <w:rsid w:val="658713A2"/>
    <w:rsid w:val="65AF1261"/>
    <w:rsid w:val="65B87C60"/>
    <w:rsid w:val="65CC54F7"/>
    <w:rsid w:val="65DA25C0"/>
    <w:rsid w:val="66007D67"/>
    <w:rsid w:val="663549B3"/>
    <w:rsid w:val="66431CA8"/>
    <w:rsid w:val="66B56591"/>
    <w:rsid w:val="674412F8"/>
    <w:rsid w:val="67697613"/>
    <w:rsid w:val="676C19A3"/>
    <w:rsid w:val="67874E64"/>
    <w:rsid w:val="67992086"/>
    <w:rsid w:val="679C7788"/>
    <w:rsid w:val="67A639C7"/>
    <w:rsid w:val="67D92E70"/>
    <w:rsid w:val="67FD1DAB"/>
    <w:rsid w:val="68012776"/>
    <w:rsid w:val="68313733"/>
    <w:rsid w:val="69966649"/>
    <w:rsid w:val="699A657E"/>
    <w:rsid w:val="69A83992"/>
    <w:rsid w:val="69C96B29"/>
    <w:rsid w:val="69CE2026"/>
    <w:rsid w:val="69D67433"/>
    <w:rsid w:val="69F021DB"/>
    <w:rsid w:val="6A03709F"/>
    <w:rsid w:val="6AAD28D9"/>
    <w:rsid w:val="6AAF4B97"/>
    <w:rsid w:val="6B20701A"/>
    <w:rsid w:val="6B3D7F17"/>
    <w:rsid w:val="6C27626F"/>
    <w:rsid w:val="6C397FC7"/>
    <w:rsid w:val="6C465F32"/>
    <w:rsid w:val="6C621FDF"/>
    <w:rsid w:val="6C805BAD"/>
    <w:rsid w:val="6CCE4B92"/>
    <w:rsid w:val="6CD81C1E"/>
    <w:rsid w:val="6CE978CE"/>
    <w:rsid w:val="6D161D61"/>
    <w:rsid w:val="6D195F0B"/>
    <w:rsid w:val="6D236717"/>
    <w:rsid w:val="6D51697F"/>
    <w:rsid w:val="6D561817"/>
    <w:rsid w:val="6D7C5FAF"/>
    <w:rsid w:val="6D8B4F45"/>
    <w:rsid w:val="6DA24B6A"/>
    <w:rsid w:val="6DFA2FFA"/>
    <w:rsid w:val="6E095813"/>
    <w:rsid w:val="6E1142A7"/>
    <w:rsid w:val="6E430644"/>
    <w:rsid w:val="6E540211"/>
    <w:rsid w:val="6E5E1A54"/>
    <w:rsid w:val="6E7716CA"/>
    <w:rsid w:val="6E8C0BE2"/>
    <w:rsid w:val="6E9A5CEF"/>
    <w:rsid w:val="6EB26818"/>
    <w:rsid w:val="6EB73A9A"/>
    <w:rsid w:val="6EDA6A7D"/>
    <w:rsid w:val="6F165D50"/>
    <w:rsid w:val="6F795423"/>
    <w:rsid w:val="6FB72056"/>
    <w:rsid w:val="6FF8524F"/>
    <w:rsid w:val="707C4846"/>
    <w:rsid w:val="70D04FAA"/>
    <w:rsid w:val="71047AFA"/>
    <w:rsid w:val="71085217"/>
    <w:rsid w:val="712C7C8C"/>
    <w:rsid w:val="713B7C54"/>
    <w:rsid w:val="71487ACE"/>
    <w:rsid w:val="71893698"/>
    <w:rsid w:val="71E76C1B"/>
    <w:rsid w:val="71F437AF"/>
    <w:rsid w:val="726E34C9"/>
    <w:rsid w:val="72F766D5"/>
    <w:rsid w:val="73074644"/>
    <w:rsid w:val="745F6C7C"/>
    <w:rsid w:val="746B7A8B"/>
    <w:rsid w:val="74A55024"/>
    <w:rsid w:val="74BF2D99"/>
    <w:rsid w:val="74E26C97"/>
    <w:rsid w:val="750072B4"/>
    <w:rsid w:val="7549787F"/>
    <w:rsid w:val="75653882"/>
    <w:rsid w:val="756F513B"/>
    <w:rsid w:val="75853A5B"/>
    <w:rsid w:val="75AB0A14"/>
    <w:rsid w:val="75B951A6"/>
    <w:rsid w:val="761F0134"/>
    <w:rsid w:val="76294569"/>
    <w:rsid w:val="7657271C"/>
    <w:rsid w:val="76732C9D"/>
    <w:rsid w:val="769F2D64"/>
    <w:rsid w:val="76BA05D5"/>
    <w:rsid w:val="76F007C9"/>
    <w:rsid w:val="771259C6"/>
    <w:rsid w:val="7732281D"/>
    <w:rsid w:val="773B78A9"/>
    <w:rsid w:val="773D0BAE"/>
    <w:rsid w:val="775E326F"/>
    <w:rsid w:val="778F795D"/>
    <w:rsid w:val="77910638"/>
    <w:rsid w:val="7805161F"/>
    <w:rsid w:val="780B2500"/>
    <w:rsid w:val="78312740"/>
    <w:rsid w:val="7861548E"/>
    <w:rsid w:val="78844872"/>
    <w:rsid w:val="78887B00"/>
    <w:rsid w:val="789B436E"/>
    <w:rsid w:val="78D366C6"/>
    <w:rsid w:val="790171BF"/>
    <w:rsid w:val="79121A2E"/>
    <w:rsid w:val="7936676B"/>
    <w:rsid w:val="796770B0"/>
    <w:rsid w:val="798B53DB"/>
    <w:rsid w:val="79A522A2"/>
    <w:rsid w:val="79AF2C8A"/>
    <w:rsid w:val="79C23DD0"/>
    <w:rsid w:val="79E6728C"/>
    <w:rsid w:val="79F71702"/>
    <w:rsid w:val="7A38265B"/>
    <w:rsid w:val="7A442306"/>
    <w:rsid w:val="7A4665A8"/>
    <w:rsid w:val="7A84348C"/>
    <w:rsid w:val="7A9C4DB8"/>
    <w:rsid w:val="7B0D1F88"/>
    <w:rsid w:val="7B1072F5"/>
    <w:rsid w:val="7B15597B"/>
    <w:rsid w:val="7B1B3108"/>
    <w:rsid w:val="7B215011"/>
    <w:rsid w:val="7B2D68A5"/>
    <w:rsid w:val="7B315C9C"/>
    <w:rsid w:val="7B570DD1"/>
    <w:rsid w:val="7B585E3C"/>
    <w:rsid w:val="7B653586"/>
    <w:rsid w:val="7B704D90"/>
    <w:rsid w:val="7B7E06C4"/>
    <w:rsid w:val="7B80502B"/>
    <w:rsid w:val="7BC703CB"/>
    <w:rsid w:val="7BFC5DC1"/>
    <w:rsid w:val="7C140848"/>
    <w:rsid w:val="7C2524E2"/>
    <w:rsid w:val="7C3D0C61"/>
    <w:rsid w:val="7C585A30"/>
    <w:rsid w:val="7C6D45A3"/>
    <w:rsid w:val="7C7E29CD"/>
    <w:rsid w:val="7C815CBD"/>
    <w:rsid w:val="7C9877BF"/>
    <w:rsid w:val="7CC76624"/>
    <w:rsid w:val="7D4B0422"/>
    <w:rsid w:val="7D4F649D"/>
    <w:rsid w:val="7D564C1D"/>
    <w:rsid w:val="7DC616C1"/>
    <w:rsid w:val="7DDA1987"/>
    <w:rsid w:val="7DF71F14"/>
    <w:rsid w:val="7E065CCE"/>
    <w:rsid w:val="7E582255"/>
    <w:rsid w:val="7E6F1CAB"/>
    <w:rsid w:val="7EBA0FF5"/>
    <w:rsid w:val="7EBD79FB"/>
    <w:rsid w:val="7ED17DA8"/>
    <w:rsid w:val="7F151C89"/>
    <w:rsid w:val="7F471E1C"/>
    <w:rsid w:val="7F54738A"/>
    <w:rsid w:val="7F7B10B3"/>
    <w:rsid w:val="7F831D43"/>
    <w:rsid w:val="7FEC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5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qFormat/>
    <w:uiPriority w:val="0"/>
    <w:rPr>
      <w:color w:val="800080"/>
      <w:u w:val="single"/>
    </w:rPr>
  </w:style>
  <w:style w:type="character" w:styleId="22">
    <w:name w:val="Hyperlink"/>
    <w:qFormat/>
    <w:uiPriority w:val="99"/>
    <w:rPr>
      <w:color w:val="0000FF"/>
      <w:u w:val="single"/>
    </w:rPr>
  </w:style>
  <w:style w:type="paragraph" w:customStyle="1" w:styleId="2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4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5">
    <w:name w:val="Grid Table Light"/>
    <w:basedOn w:val="18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9"/>
    <w:qFormat/>
    <w:uiPriority w:val="0"/>
    <w:pPr>
      <w:jc w:val="center"/>
    </w:pPr>
  </w:style>
  <w:style w:type="paragraph" w:customStyle="1" w:styleId="29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30">
    <w:name w:val="B1"/>
    <w:basedOn w:val="1"/>
    <w:qFormat/>
    <w:uiPriority w:val="0"/>
    <w:pPr>
      <w:ind w:left="568" w:hanging="284"/>
    </w:p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2">
    <w:name w:val="B2"/>
    <w:basedOn w:val="14"/>
    <w:qFormat/>
    <w:uiPriority w:val="0"/>
  </w:style>
  <w:style w:type="paragraph" w:customStyle="1" w:styleId="33">
    <w:name w:val="NO"/>
    <w:basedOn w:val="1"/>
    <w:qFormat/>
    <w:uiPriority w:val="0"/>
    <w:pPr>
      <w:keepLines/>
      <w:ind w:left="1135" w:hanging="851"/>
    </w:pPr>
  </w:style>
  <w:style w:type="character" w:customStyle="1" w:styleId="34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5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customStyle="1" w:styleId="36">
    <w:name w:val="YJ-Observation"/>
    <w:basedOn w:val="37"/>
    <w:qFormat/>
    <w:uiPriority w:val="0"/>
    <w:pPr>
      <w:numPr>
        <w:ilvl w:val="0"/>
        <w:numId w:val="3"/>
      </w:numPr>
      <w:tabs>
        <w:tab w:val="left" w:pos="1417"/>
        <w:tab w:val="left" w:pos="4820"/>
        <w:tab w:val="clear" w:pos="0"/>
      </w:tabs>
    </w:pPr>
  </w:style>
  <w:style w:type="paragraph" w:customStyle="1" w:styleId="37">
    <w:name w:val="YJ-Proposal"/>
    <w:basedOn w:val="1"/>
    <w:qFormat/>
    <w:uiPriority w:val="0"/>
    <w:pPr>
      <w:numPr>
        <w:ilvl w:val="0"/>
        <w:numId w:val="4"/>
      </w:numPr>
      <w:tabs>
        <w:tab w:val="left" w:pos="0"/>
      </w:tabs>
      <w:ind w:left="0"/>
    </w:pPr>
    <w:rPr>
      <w:b/>
      <w:bCs/>
      <w:szCs w:val="21"/>
      <w:lang w:eastAsia="en-US"/>
    </w:rPr>
  </w:style>
  <w:style w:type="paragraph" w:customStyle="1" w:styleId="3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1838</Words>
  <Characters>9030</Characters>
  <Lines>0</Lines>
  <Paragraphs>0</Paragraphs>
  <TotalTime>5</TotalTime>
  <ScaleCrop>false</ScaleCrop>
  <LinksUpToDate>false</LinksUpToDate>
  <CharactersWithSpaces>10657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2023-09-28T06:26:30Z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C695129FFDA649979BB8119FB5652EAE</vt:lpwstr>
  </property>
</Properties>
</file>